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C5" w:rsidRPr="00DC0382" w:rsidRDefault="004B71C5" w:rsidP="004B71C5">
      <w:pPr>
        <w:spacing w:after="0" w:line="360" w:lineRule="auto"/>
        <w:jc w:val="center"/>
        <w:rPr>
          <w:rFonts w:eastAsiaTheme="minorEastAsia"/>
          <w:b/>
          <w:sz w:val="28"/>
          <w:szCs w:val="28"/>
          <w:lang w:val="en-US" w:eastAsia="zh-CN"/>
        </w:rPr>
      </w:pPr>
      <w:r w:rsidRPr="00DC0382">
        <w:rPr>
          <w:rFonts w:eastAsiaTheme="minorEastAsia"/>
          <w:b/>
          <w:sz w:val="28"/>
          <w:szCs w:val="28"/>
          <w:lang w:val="en-US" w:eastAsia="zh-CN"/>
        </w:rPr>
        <w:t>SYSTEMIC ENDOTOXINEMIA AND TENSION OF ANTIENDOTOXIN IMMUNITY ASSESSMENT IN CHILDREN WITH EROSIVE AND ULCERATIVE CHANGES IN THE DUODENAL MUCOSA</w:t>
      </w:r>
    </w:p>
    <w:p w:rsidR="004B71C5" w:rsidRPr="00DC0382" w:rsidRDefault="004B71C5" w:rsidP="004B71C5">
      <w:pPr>
        <w:spacing w:after="0" w:line="360" w:lineRule="auto"/>
        <w:jc w:val="center"/>
        <w:rPr>
          <w:rFonts w:eastAsiaTheme="minorEastAsia"/>
          <w:sz w:val="28"/>
          <w:szCs w:val="28"/>
          <w:lang w:val="en-US" w:eastAsia="zh-CN"/>
        </w:rPr>
      </w:pPr>
      <w:r w:rsidRPr="00DC0382">
        <w:rPr>
          <w:rFonts w:eastAsiaTheme="minorEastAsia"/>
          <w:sz w:val="28"/>
          <w:szCs w:val="28"/>
          <w:lang w:val="en-US" w:eastAsia="zh-CN"/>
        </w:rPr>
        <w:t xml:space="preserve">A. V. </w:t>
      </w:r>
      <w:proofErr w:type="spellStart"/>
      <w:r w:rsidRPr="00DC0382">
        <w:rPr>
          <w:rFonts w:eastAsiaTheme="minorEastAsia"/>
          <w:sz w:val="28"/>
          <w:szCs w:val="28"/>
          <w:lang w:val="en-US" w:eastAsia="zh-CN"/>
        </w:rPr>
        <w:t>Nalyotov</w:t>
      </w:r>
      <w:proofErr w:type="spellEnd"/>
    </w:p>
    <w:p w:rsidR="004B71C5" w:rsidRPr="00DC0382" w:rsidRDefault="004B71C5" w:rsidP="004B71C5">
      <w:pPr>
        <w:spacing w:after="0" w:line="360" w:lineRule="auto"/>
        <w:jc w:val="center"/>
        <w:rPr>
          <w:rFonts w:eastAsiaTheme="minorEastAsia"/>
          <w:i/>
          <w:sz w:val="28"/>
          <w:szCs w:val="28"/>
          <w:lang w:val="en-US" w:eastAsia="zh-CN"/>
        </w:rPr>
      </w:pPr>
      <w:r w:rsidRPr="00DC0382">
        <w:rPr>
          <w:rFonts w:eastAsiaTheme="minorEastAsia"/>
          <w:i/>
          <w:sz w:val="28"/>
          <w:szCs w:val="28"/>
          <w:lang w:val="en-US" w:eastAsia="zh-CN"/>
        </w:rPr>
        <w:t>Donetsk National Medical University n. a. M. Gorky</w:t>
      </w:r>
      <w:r w:rsidRPr="00DC0382">
        <w:rPr>
          <w:rFonts w:eastAsiaTheme="minorEastAsia"/>
          <w:i/>
          <w:sz w:val="28"/>
          <w:szCs w:val="28"/>
          <w:lang w:val="uk-UA" w:eastAsia="zh-CN"/>
        </w:rPr>
        <w:t xml:space="preserve">, </w:t>
      </w:r>
      <w:r w:rsidRPr="00DC0382">
        <w:rPr>
          <w:rFonts w:eastAsiaTheme="minorEastAsia"/>
          <w:i/>
          <w:sz w:val="28"/>
          <w:szCs w:val="28"/>
          <w:lang w:val="en-US" w:eastAsia="zh-CN"/>
        </w:rPr>
        <w:t>Ukraine</w:t>
      </w:r>
    </w:p>
    <w:p w:rsidR="004B71C5" w:rsidRPr="00DC0382" w:rsidRDefault="004B71C5" w:rsidP="004B71C5">
      <w:pPr>
        <w:spacing w:after="0" w:line="360" w:lineRule="auto"/>
        <w:ind w:firstLine="709"/>
        <w:jc w:val="both"/>
        <w:rPr>
          <w:rFonts w:eastAsiaTheme="minorEastAsia"/>
          <w:b/>
          <w:sz w:val="28"/>
          <w:szCs w:val="28"/>
          <w:lang w:val="uk-UA" w:eastAsia="zh-CN"/>
        </w:rPr>
      </w:pPr>
    </w:p>
    <w:p w:rsidR="00BC7970" w:rsidRPr="00DC0382" w:rsidRDefault="004B71C5" w:rsidP="004B71C5">
      <w:pPr>
        <w:spacing w:after="0" w:line="360" w:lineRule="auto"/>
        <w:ind w:firstLine="709"/>
        <w:jc w:val="both"/>
        <w:rPr>
          <w:sz w:val="28"/>
          <w:szCs w:val="28"/>
          <w:lang w:val="en-US"/>
        </w:rPr>
      </w:pPr>
      <w:r w:rsidRPr="00DC0382">
        <w:rPr>
          <w:rFonts w:eastAsiaTheme="minorEastAsia"/>
          <w:b/>
          <w:sz w:val="28"/>
          <w:szCs w:val="28"/>
          <w:lang w:val="en-US" w:eastAsia="zh-CN"/>
        </w:rPr>
        <w:t>Key</w:t>
      </w:r>
      <w:r w:rsidRPr="00DC0382">
        <w:rPr>
          <w:rFonts w:eastAsiaTheme="minorEastAsia"/>
          <w:b/>
          <w:sz w:val="28"/>
          <w:szCs w:val="28"/>
          <w:lang w:val="uk-UA" w:eastAsia="zh-CN"/>
        </w:rPr>
        <w:t xml:space="preserve"> </w:t>
      </w:r>
      <w:r w:rsidRPr="00DC0382">
        <w:rPr>
          <w:rFonts w:eastAsiaTheme="minorEastAsia"/>
          <w:b/>
          <w:sz w:val="28"/>
          <w:szCs w:val="28"/>
          <w:lang w:val="en-US" w:eastAsia="zh-CN"/>
        </w:rPr>
        <w:t>words</w:t>
      </w:r>
      <w:r w:rsidRPr="00DC0382">
        <w:rPr>
          <w:rFonts w:eastAsiaTheme="minorEastAsia"/>
          <w:b/>
          <w:sz w:val="28"/>
          <w:szCs w:val="28"/>
          <w:lang w:val="uk-UA" w:eastAsia="zh-CN"/>
        </w:rPr>
        <w:t xml:space="preserve">: </w:t>
      </w:r>
      <w:r w:rsidRPr="00DC0382">
        <w:rPr>
          <w:rFonts w:eastAsiaTheme="minorEastAsia"/>
          <w:sz w:val="28"/>
          <w:szCs w:val="28"/>
          <w:lang w:val="en-US" w:eastAsia="zh-CN"/>
        </w:rPr>
        <w:t xml:space="preserve">children, </w:t>
      </w:r>
      <w:proofErr w:type="spellStart"/>
      <w:r w:rsidRPr="00DC0382">
        <w:rPr>
          <w:rFonts w:eastAsiaTheme="minorEastAsia"/>
          <w:sz w:val="28"/>
          <w:szCs w:val="28"/>
          <w:lang w:val="en-US" w:eastAsia="zh-CN"/>
        </w:rPr>
        <w:t>gastroduodenal</w:t>
      </w:r>
      <w:proofErr w:type="spellEnd"/>
      <w:r w:rsidRPr="00DC0382">
        <w:rPr>
          <w:rFonts w:eastAsiaTheme="minorEastAsia"/>
          <w:sz w:val="28"/>
          <w:szCs w:val="28"/>
          <w:lang w:val="en-US" w:eastAsia="zh-CN"/>
        </w:rPr>
        <w:t xml:space="preserve"> pathology, Helicobacter pylori, genotyping, </w:t>
      </w:r>
      <w:proofErr w:type="spellStart"/>
      <w:r w:rsidRPr="00DC0382">
        <w:rPr>
          <w:rFonts w:eastAsiaTheme="minorEastAsia"/>
          <w:sz w:val="28"/>
          <w:szCs w:val="28"/>
          <w:lang w:val="en-US" w:eastAsia="zh-CN"/>
        </w:rPr>
        <w:t>endotoxin</w:t>
      </w:r>
      <w:proofErr w:type="spellEnd"/>
      <w:r w:rsidRPr="00DC0382">
        <w:rPr>
          <w:rFonts w:eastAsiaTheme="minorEastAsia"/>
          <w:sz w:val="28"/>
          <w:szCs w:val="28"/>
          <w:lang w:val="en-US" w:eastAsia="zh-CN"/>
        </w:rPr>
        <w:t xml:space="preserve">, </w:t>
      </w:r>
      <w:proofErr w:type="spellStart"/>
      <w:r w:rsidRPr="00DC0382">
        <w:rPr>
          <w:rFonts w:eastAsiaTheme="minorEastAsia"/>
          <w:sz w:val="28"/>
          <w:szCs w:val="28"/>
          <w:lang w:val="en-US" w:eastAsia="zh-CN"/>
        </w:rPr>
        <w:t>antiendotoxin</w:t>
      </w:r>
      <w:proofErr w:type="spellEnd"/>
      <w:r w:rsidRPr="00DC0382">
        <w:rPr>
          <w:rFonts w:eastAsiaTheme="minorEastAsia"/>
          <w:sz w:val="28"/>
          <w:szCs w:val="28"/>
          <w:lang w:val="en-US" w:eastAsia="zh-CN"/>
        </w:rPr>
        <w:t xml:space="preserve"> immunity, small intestinal bacterial overgrowth syndrome</w:t>
      </w:r>
    </w:p>
    <w:p w:rsidR="00040F6D" w:rsidRPr="00DC0382" w:rsidRDefault="00040F6D" w:rsidP="00BC7970">
      <w:pPr>
        <w:spacing w:after="0" w:line="360" w:lineRule="auto"/>
        <w:ind w:firstLine="709"/>
        <w:jc w:val="both"/>
        <w:rPr>
          <w:rFonts w:eastAsiaTheme="minorEastAsia"/>
          <w:sz w:val="28"/>
          <w:szCs w:val="28"/>
          <w:lang w:val="en-US" w:eastAsia="zh-CN"/>
        </w:rPr>
      </w:pPr>
      <w:proofErr w:type="gramStart"/>
      <w:r w:rsidRPr="00DC0382">
        <w:rPr>
          <w:rFonts w:eastAsiaTheme="minorEastAsia"/>
          <w:b/>
          <w:sz w:val="28"/>
          <w:szCs w:val="28"/>
          <w:lang w:val="en-US" w:eastAsia="zh-CN"/>
        </w:rPr>
        <w:t>Introduction</w:t>
      </w:r>
      <w:r w:rsidR="00BC7970" w:rsidRPr="00DC0382">
        <w:rPr>
          <w:rFonts w:eastAsiaTheme="minorEastAsia"/>
          <w:b/>
          <w:sz w:val="28"/>
          <w:szCs w:val="28"/>
          <w:lang w:val="en-US" w:eastAsia="zh-CN"/>
        </w:rPr>
        <w:t>.</w:t>
      </w:r>
      <w:proofErr w:type="gramEnd"/>
      <w:r w:rsidR="00BC7970" w:rsidRPr="00DC0382">
        <w:rPr>
          <w:rFonts w:eastAsiaTheme="minorEastAsia"/>
          <w:b/>
          <w:sz w:val="28"/>
          <w:szCs w:val="28"/>
          <w:lang w:val="en-US" w:eastAsia="zh-CN"/>
        </w:rPr>
        <w:t xml:space="preserve"> </w:t>
      </w:r>
      <w:r w:rsidR="00713EAA" w:rsidRPr="00DC0382">
        <w:rPr>
          <w:rFonts w:eastAsiaTheme="minorEastAsia"/>
          <w:sz w:val="28"/>
          <w:szCs w:val="28"/>
          <w:lang w:val="en-US" w:eastAsia="zh-CN"/>
        </w:rPr>
        <w:t xml:space="preserve">Among the great number of factors, Helicobacter </w:t>
      </w:r>
      <w:proofErr w:type="gramStart"/>
      <w:r w:rsidR="00713EAA" w:rsidRPr="00DC0382">
        <w:rPr>
          <w:rFonts w:eastAsiaTheme="minorEastAsia"/>
          <w:sz w:val="28"/>
          <w:szCs w:val="28"/>
          <w:lang w:val="en-US" w:eastAsia="zh-CN"/>
        </w:rPr>
        <w:t>pylori (</w:t>
      </w:r>
      <w:r w:rsidR="005C698F" w:rsidRPr="00DC0382">
        <w:rPr>
          <w:rFonts w:eastAsiaTheme="minorEastAsia"/>
          <w:sz w:val="28"/>
          <w:szCs w:val="28"/>
          <w:lang w:val="en-US" w:eastAsia="zh-CN"/>
        </w:rPr>
        <w:t>Hp</w:t>
      </w:r>
      <w:r w:rsidR="00713EAA" w:rsidRPr="00DC0382">
        <w:rPr>
          <w:rFonts w:eastAsiaTheme="minorEastAsia"/>
          <w:sz w:val="28"/>
          <w:szCs w:val="28"/>
          <w:lang w:val="en-US" w:eastAsia="zh-CN"/>
        </w:rPr>
        <w:t>) is</w:t>
      </w:r>
      <w:proofErr w:type="gramEnd"/>
      <w:r w:rsidR="00713EAA" w:rsidRPr="00DC0382">
        <w:rPr>
          <w:rFonts w:eastAsiaTheme="minorEastAsia"/>
          <w:sz w:val="28"/>
          <w:szCs w:val="28"/>
          <w:lang w:val="en-US" w:eastAsia="zh-CN"/>
        </w:rPr>
        <w:t xml:space="preserve"> considered to be the main and generally </w:t>
      </w:r>
      <w:r w:rsidR="002559F0" w:rsidRPr="00DC0382">
        <w:rPr>
          <w:rFonts w:eastAsiaTheme="minorEastAsia"/>
          <w:sz w:val="28"/>
          <w:szCs w:val="28"/>
          <w:lang w:val="en-US" w:eastAsia="zh-CN"/>
        </w:rPr>
        <w:t xml:space="preserve">acknowledged </w:t>
      </w:r>
      <w:r w:rsidR="00713EAA" w:rsidRPr="00DC0382">
        <w:rPr>
          <w:rFonts w:eastAsiaTheme="minorEastAsia"/>
          <w:sz w:val="28"/>
          <w:szCs w:val="28"/>
          <w:lang w:val="en-US" w:eastAsia="zh-CN"/>
        </w:rPr>
        <w:t xml:space="preserve">cause of chronic </w:t>
      </w:r>
      <w:proofErr w:type="spellStart"/>
      <w:r w:rsidR="00713EAA" w:rsidRPr="00DC0382">
        <w:rPr>
          <w:rFonts w:eastAsiaTheme="minorEastAsia"/>
          <w:sz w:val="28"/>
          <w:szCs w:val="28"/>
          <w:lang w:val="en-US" w:eastAsia="zh-CN"/>
        </w:rPr>
        <w:t>gastroduodenal</w:t>
      </w:r>
      <w:proofErr w:type="spellEnd"/>
      <w:r w:rsidR="00713EAA" w:rsidRPr="00DC0382">
        <w:rPr>
          <w:rFonts w:eastAsiaTheme="minorEastAsia"/>
          <w:sz w:val="28"/>
          <w:szCs w:val="28"/>
          <w:lang w:val="en-US" w:eastAsia="zh-CN"/>
        </w:rPr>
        <w:t xml:space="preserve"> pathology (CGDP) [</w:t>
      </w:r>
      <w:fldSimple w:instr=" REF _Ref381462003 \r \h  \* MERGEFORMAT ">
        <w:r w:rsidR="006D379E" w:rsidRPr="00DC0382">
          <w:rPr>
            <w:rFonts w:eastAsiaTheme="minorEastAsia"/>
            <w:sz w:val="28"/>
            <w:szCs w:val="28"/>
            <w:lang w:val="en-US" w:eastAsia="zh-CN"/>
          </w:rPr>
          <w:t>5</w:t>
        </w:r>
      </w:fldSimple>
      <w:r w:rsidR="00713EAA" w:rsidRPr="00DC0382">
        <w:rPr>
          <w:rFonts w:eastAsiaTheme="minorEastAsia"/>
          <w:sz w:val="28"/>
          <w:szCs w:val="28"/>
          <w:lang w:val="en-US" w:eastAsia="zh-CN"/>
        </w:rPr>
        <w:t>]</w:t>
      </w:r>
      <w:r w:rsidRPr="00DC0382">
        <w:rPr>
          <w:rFonts w:eastAsiaTheme="minorEastAsia"/>
          <w:sz w:val="28"/>
          <w:szCs w:val="28"/>
          <w:lang w:val="en-US" w:eastAsia="zh-CN"/>
        </w:rPr>
        <w:t xml:space="preserve">. </w:t>
      </w:r>
      <w:r w:rsidR="00713EAA" w:rsidRPr="00DC0382">
        <w:rPr>
          <w:rFonts w:eastAsiaTheme="minorEastAsia"/>
          <w:sz w:val="28"/>
          <w:szCs w:val="28"/>
          <w:lang w:val="en-US" w:eastAsia="zh-CN"/>
        </w:rPr>
        <w:t xml:space="preserve">Current </w:t>
      </w:r>
      <w:r w:rsidR="00FC38CD">
        <w:rPr>
          <w:rFonts w:eastAsiaTheme="minorEastAsia"/>
          <w:sz w:val="28"/>
          <w:szCs w:val="28"/>
          <w:lang w:val="en-US" w:eastAsia="zh-CN"/>
        </w:rPr>
        <w:t xml:space="preserve">level of </w:t>
      </w:r>
      <w:r w:rsidR="005C698F" w:rsidRPr="00DC0382">
        <w:rPr>
          <w:rFonts w:eastAsiaTheme="minorEastAsia"/>
          <w:sz w:val="28"/>
          <w:szCs w:val="28"/>
          <w:lang w:val="en-US" w:eastAsia="zh-CN"/>
        </w:rPr>
        <w:t>Hp</w:t>
      </w:r>
      <w:r w:rsidRPr="00DC0382">
        <w:rPr>
          <w:rFonts w:eastAsiaTheme="minorEastAsia"/>
          <w:sz w:val="28"/>
          <w:szCs w:val="28"/>
          <w:lang w:val="en-US" w:eastAsia="zh-CN"/>
        </w:rPr>
        <w:t xml:space="preserve"> infection in humans is very high. Frequency of diseases associated with </w:t>
      </w:r>
      <w:r w:rsidR="005C698F" w:rsidRPr="00DC0382">
        <w:rPr>
          <w:rFonts w:eastAsiaTheme="minorEastAsia"/>
          <w:sz w:val="28"/>
          <w:szCs w:val="28"/>
          <w:lang w:val="en-US" w:eastAsia="zh-CN"/>
        </w:rPr>
        <w:t>Hp</w:t>
      </w:r>
      <w:r w:rsidRPr="00DC0382">
        <w:rPr>
          <w:rFonts w:eastAsiaTheme="minorEastAsia"/>
          <w:sz w:val="28"/>
          <w:szCs w:val="28"/>
          <w:lang w:val="en-US" w:eastAsia="zh-CN"/>
        </w:rPr>
        <w:t xml:space="preserve"> infection varies depending on the</w:t>
      </w:r>
      <w:r w:rsidR="00713EAA" w:rsidRPr="00DC0382">
        <w:rPr>
          <w:rFonts w:eastAsiaTheme="minorEastAsia"/>
          <w:sz w:val="28"/>
          <w:szCs w:val="28"/>
          <w:lang w:val="en-US" w:eastAsia="zh-CN"/>
        </w:rPr>
        <w:t xml:space="preserve"> country and age of patients</w:t>
      </w:r>
      <w:r w:rsidRPr="00DC0382">
        <w:rPr>
          <w:rFonts w:eastAsiaTheme="minorEastAsia"/>
          <w:sz w:val="28"/>
          <w:szCs w:val="28"/>
          <w:lang w:val="en-US" w:eastAsia="zh-CN"/>
        </w:rPr>
        <w:t>. In Russia and Ukraine infection of t</w:t>
      </w:r>
      <w:r w:rsidR="00713EAA" w:rsidRPr="00DC0382">
        <w:rPr>
          <w:rFonts w:eastAsiaTheme="minorEastAsia"/>
          <w:sz w:val="28"/>
          <w:szCs w:val="28"/>
          <w:lang w:val="en-US" w:eastAsia="zh-CN"/>
        </w:rPr>
        <w:t>he adult population is about 80</w:t>
      </w:r>
      <w:r w:rsidRPr="00DC0382">
        <w:rPr>
          <w:rFonts w:eastAsiaTheme="minorEastAsia"/>
          <w:sz w:val="28"/>
          <w:szCs w:val="28"/>
          <w:lang w:val="en-US" w:eastAsia="zh-CN"/>
        </w:rPr>
        <w:t xml:space="preserve">%, </w:t>
      </w:r>
      <w:r w:rsidR="00713EAA" w:rsidRPr="00DC0382">
        <w:rPr>
          <w:rFonts w:eastAsiaTheme="minorEastAsia"/>
          <w:sz w:val="28"/>
          <w:szCs w:val="28"/>
          <w:lang w:val="en-US" w:eastAsia="zh-CN"/>
        </w:rPr>
        <w:t>while the child</w:t>
      </w:r>
      <w:r w:rsidR="00795F10" w:rsidRPr="00DC0382">
        <w:rPr>
          <w:rFonts w:eastAsiaTheme="minorEastAsia"/>
          <w:sz w:val="28"/>
          <w:szCs w:val="28"/>
          <w:lang w:val="en-US" w:eastAsia="zh-CN"/>
        </w:rPr>
        <w:t>ren</w:t>
      </w:r>
      <w:r w:rsidR="00713EAA" w:rsidRPr="00DC0382">
        <w:rPr>
          <w:rFonts w:eastAsiaTheme="minorEastAsia"/>
          <w:sz w:val="28"/>
          <w:szCs w:val="28"/>
          <w:lang w:val="en-US" w:eastAsia="zh-CN"/>
        </w:rPr>
        <w:t xml:space="preserve"> (</w:t>
      </w:r>
      <w:r w:rsidRPr="00DC0382">
        <w:rPr>
          <w:rFonts w:eastAsiaTheme="minorEastAsia"/>
          <w:sz w:val="28"/>
          <w:szCs w:val="28"/>
          <w:lang w:val="en-US" w:eastAsia="zh-CN"/>
        </w:rPr>
        <w:t xml:space="preserve">depending on </w:t>
      </w:r>
      <w:r w:rsidR="00FC38CD">
        <w:rPr>
          <w:rFonts w:eastAsiaTheme="minorEastAsia"/>
          <w:sz w:val="28"/>
          <w:szCs w:val="28"/>
          <w:lang w:val="en-US" w:eastAsia="zh-CN"/>
        </w:rPr>
        <w:t xml:space="preserve">their </w:t>
      </w:r>
      <w:r w:rsidRPr="00DC0382">
        <w:rPr>
          <w:rFonts w:eastAsiaTheme="minorEastAsia"/>
          <w:sz w:val="28"/>
          <w:szCs w:val="28"/>
          <w:lang w:val="en-US" w:eastAsia="zh-CN"/>
        </w:rPr>
        <w:t>age</w:t>
      </w:r>
      <w:r w:rsidR="00713EAA" w:rsidRPr="00DC0382">
        <w:rPr>
          <w:rFonts w:eastAsiaTheme="minorEastAsia"/>
          <w:sz w:val="28"/>
          <w:szCs w:val="28"/>
          <w:lang w:val="en-US" w:eastAsia="zh-CN"/>
        </w:rPr>
        <w:t>)</w:t>
      </w:r>
      <w:r w:rsidRPr="00DC0382">
        <w:rPr>
          <w:rFonts w:eastAsiaTheme="minorEastAsia"/>
          <w:sz w:val="28"/>
          <w:szCs w:val="28"/>
          <w:lang w:val="en-US" w:eastAsia="zh-CN"/>
        </w:rPr>
        <w:t xml:space="preserve"> </w:t>
      </w:r>
      <w:r w:rsidR="00795F10" w:rsidRPr="00DC0382">
        <w:rPr>
          <w:rFonts w:eastAsiaTheme="minorEastAsia"/>
          <w:sz w:val="28"/>
          <w:szCs w:val="28"/>
          <w:lang w:val="en-US" w:eastAsia="zh-CN"/>
        </w:rPr>
        <w:t>make up</w:t>
      </w:r>
      <w:r w:rsidR="00713EAA" w:rsidRPr="00DC0382">
        <w:rPr>
          <w:rFonts w:eastAsiaTheme="minorEastAsia"/>
          <w:sz w:val="28"/>
          <w:szCs w:val="28"/>
          <w:lang w:val="en-US" w:eastAsia="zh-CN"/>
        </w:rPr>
        <w:t xml:space="preserve"> 40</w:t>
      </w:r>
      <w:r w:rsidR="006147EA">
        <w:rPr>
          <w:rFonts w:eastAsiaTheme="minorEastAsia"/>
          <w:sz w:val="28"/>
          <w:szCs w:val="28"/>
          <w:lang w:val="en-US" w:eastAsia="zh-CN"/>
        </w:rPr>
        <w:t>-</w:t>
      </w:r>
      <w:r w:rsidR="00713EAA" w:rsidRPr="00DC0382">
        <w:rPr>
          <w:rFonts w:eastAsiaTheme="minorEastAsia"/>
          <w:sz w:val="28"/>
          <w:szCs w:val="28"/>
          <w:lang w:val="en-US" w:eastAsia="zh-CN"/>
        </w:rPr>
        <w:t>70% [</w:t>
      </w:r>
      <w:fldSimple w:instr=" REF _Ref381462003 \r \h  \* MERGEFORMAT ">
        <w:r w:rsidR="006D379E" w:rsidRPr="00DC0382">
          <w:rPr>
            <w:rFonts w:eastAsiaTheme="minorEastAsia"/>
            <w:sz w:val="28"/>
            <w:szCs w:val="28"/>
            <w:lang w:val="en-US" w:eastAsia="zh-CN"/>
          </w:rPr>
          <w:t>5</w:t>
        </w:r>
      </w:fldSimple>
      <w:r w:rsidR="00713EAA" w:rsidRPr="00DC0382">
        <w:rPr>
          <w:rFonts w:eastAsiaTheme="minorEastAsia"/>
          <w:sz w:val="28"/>
          <w:szCs w:val="28"/>
          <w:lang w:val="en-US" w:eastAsia="zh-CN"/>
        </w:rPr>
        <w:t xml:space="preserve">, </w:t>
      </w:r>
      <w:fldSimple w:instr=" REF _Ref381462305 \r \h  \* MERGEFORMAT ">
        <w:r w:rsidR="006D379E" w:rsidRPr="00DC0382">
          <w:rPr>
            <w:rFonts w:eastAsiaTheme="minorEastAsia"/>
            <w:sz w:val="28"/>
            <w:szCs w:val="28"/>
            <w:lang w:val="en-US" w:eastAsia="zh-CN"/>
          </w:rPr>
          <w:t>9</w:t>
        </w:r>
      </w:fldSimple>
      <w:r w:rsidR="00713EAA" w:rsidRPr="00DC0382">
        <w:rPr>
          <w:rFonts w:eastAsiaTheme="minorEastAsia"/>
          <w:sz w:val="28"/>
          <w:szCs w:val="28"/>
          <w:lang w:val="en-US" w:eastAsia="zh-CN"/>
        </w:rPr>
        <w:t xml:space="preserve">, </w:t>
      </w:r>
      <w:r w:rsidR="00AF110E" w:rsidRPr="00DC0382">
        <w:rPr>
          <w:rFonts w:eastAsiaTheme="minorEastAsia"/>
          <w:sz w:val="28"/>
          <w:szCs w:val="28"/>
          <w:lang w:val="en-US" w:eastAsia="zh-CN"/>
        </w:rPr>
        <w:fldChar w:fldCharType="begin"/>
      </w:r>
      <w:r w:rsidR="006D379E" w:rsidRPr="00DC0382">
        <w:rPr>
          <w:rFonts w:eastAsiaTheme="minorEastAsia"/>
          <w:sz w:val="28"/>
          <w:szCs w:val="28"/>
          <w:lang w:val="en-US" w:eastAsia="zh-CN"/>
        </w:rPr>
        <w:instrText xml:space="preserve"> REF _Ref381462310 \r \h </w:instrText>
      </w:r>
      <w:r w:rsidR="00DC0382">
        <w:rPr>
          <w:rFonts w:eastAsiaTheme="minorEastAsia"/>
          <w:sz w:val="28"/>
          <w:szCs w:val="28"/>
          <w:lang w:val="en-US" w:eastAsia="zh-CN"/>
        </w:rPr>
        <w:instrText xml:space="preserve"> \* MERGEFORMAT </w:instrText>
      </w:r>
      <w:r w:rsidR="00AF110E" w:rsidRPr="00DC0382">
        <w:rPr>
          <w:rFonts w:eastAsiaTheme="minorEastAsia"/>
          <w:sz w:val="28"/>
          <w:szCs w:val="28"/>
          <w:lang w:val="en-US" w:eastAsia="zh-CN"/>
        </w:rPr>
      </w:r>
      <w:r w:rsidR="00AF110E" w:rsidRPr="00DC0382">
        <w:rPr>
          <w:rFonts w:eastAsiaTheme="minorEastAsia"/>
          <w:sz w:val="28"/>
          <w:szCs w:val="28"/>
          <w:lang w:val="en-US" w:eastAsia="zh-CN"/>
        </w:rPr>
        <w:fldChar w:fldCharType="separate"/>
      </w:r>
      <w:proofErr w:type="gramStart"/>
      <w:r w:rsidR="006D379E" w:rsidRPr="00DC0382">
        <w:rPr>
          <w:rFonts w:eastAsiaTheme="minorEastAsia"/>
          <w:sz w:val="28"/>
          <w:szCs w:val="28"/>
          <w:lang w:val="en-US" w:eastAsia="zh-CN"/>
        </w:rPr>
        <w:t>11</w:t>
      </w:r>
      <w:proofErr w:type="gramEnd"/>
      <w:r w:rsidR="00AF110E" w:rsidRPr="00DC0382">
        <w:rPr>
          <w:rFonts w:eastAsiaTheme="minorEastAsia"/>
          <w:sz w:val="28"/>
          <w:szCs w:val="28"/>
          <w:lang w:val="en-US" w:eastAsia="zh-CN"/>
        </w:rPr>
        <w:fldChar w:fldCharType="end"/>
      </w:r>
      <w:r w:rsidR="00713EAA" w:rsidRPr="00DC0382">
        <w:rPr>
          <w:rFonts w:eastAsiaTheme="minorEastAsia"/>
          <w:sz w:val="28"/>
          <w:szCs w:val="28"/>
          <w:lang w:val="en-US" w:eastAsia="zh-CN"/>
        </w:rPr>
        <w:t>]</w:t>
      </w:r>
      <w:r w:rsidRPr="00DC0382">
        <w:rPr>
          <w:rFonts w:eastAsiaTheme="minorEastAsia"/>
          <w:sz w:val="28"/>
          <w:szCs w:val="28"/>
          <w:lang w:val="en-US" w:eastAsia="zh-CN"/>
        </w:rPr>
        <w:t xml:space="preserve">. </w:t>
      </w:r>
      <w:r w:rsidR="00795F10" w:rsidRPr="00DC0382">
        <w:rPr>
          <w:rFonts w:eastAsiaTheme="minorEastAsia"/>
          <w:sz w:val="28"/>
          <w:szCs w:val="28"/>
          <w:lang w:val="en-US" w:eastAsia="zh-CN"/>
        </w:rPr>
        <w:t>F</w:t>
      </w:r>
      <w:r w:rsidRPr="00DC0382">
        <w:rPr>
          <w:rFonts w:eastAsiaTheme="minorEastAsia"/>
          <w:sz w:val="28"/>
          <w:szCs w:val="28"/>
          <w:lang w:val="en-US" w:eastAsia="zh-CN"/>
        </w:rPr>
        <w:t xml:space="preserve">requency of </w:t>
      </w:r>
      <w:r w:rsidR="00795F10" w:rsidRPr="00DC0382">
        <w:rPr>
          <w:rFonts w:eastAsiaTheme="minorEastAsia"/>
          <w:sz w:val="28"/>
          <w:szCs w:val="28"/>
          <w:lang w:val="en-US" w:eastAsia="zh-CN"/>
        </w:rPr>
        <w:t xml:space="preserve">children’s </w:t>
      </w:r>
      <w:r w:rsidR="005C698F" w:rsidRPr="00DC0382">
        <w:rPr>
          <w:rFonts w:eastAsiaTheme="minorEastAsia"/>
          <w:sz w:val="28"/>
          <w:szCs w:val="28"/>
          <w:lang w:val="en-US" w:eastAsia="zh-CN"/>
        </w:rPr>
        <w:t>Hp</w:t>
      </w:r>
      <w:r w:rsidR="00795F10" w:rsidRPr="00DC0382">
        <w:rPr>
          <w:rFonts w:eastAsiaTheme="minorEastAsia"/>
          <w:sz w:val="28"/>
          <w:szCs w:val="28"/>
          <w:lang w:val="en-US" w:eastAsia="zh-CN"/>
        </w:rPr>
        <w:t xml:space="preserve"> </w:t>
      </w:r>
      <w:r w:rsidRPr="00DC0382">
        <w:rPr>
          <w:rFonts w:eastAsiaTheme="minorEastAsia"/>
          <w:sz w:val="28"/>
          <w:szCs w:val="28"/>
          <w:lang w:val="en-US" w:eastAsia="zh-CN"/>
        </w:rPr>
        <w:t>infection do</w:t>
      </w:r>
      <w:r w:rsidR="00795F10" w:rsidRPr="00DC0382">
        <w:rPr>
          <w:rFonts w:eastAsiaTheme="minorEastAsia"/>
          <w:sz w:val="28"/>
          <w:szCs w:val="28"/>
          <w:lang w:val="en-US" w:eastAsia="zh-CN"/>
        </w:rPr>
        <w:t>esn’</w:t>
      </w:r>
      <w:r w:rsidRPr="00DC0382">
        <w:rPr>
          <w:rFonts w:eastAsiaTheme="minorEastAsia"/>
          <w:sz w:val="28"/>
          <w:szCs w:val="28"/>
          <w:lang w:val="en-US" w:eastAsia="zh-CN"/>
        </w:rPr>
        <w:t>t differ from adults</w:t>
      </w:r>
      <w:r w:rsidR="00795F10" w:rsidRPr="00DC0382">
        <w:rPr>
          <w:rFonts w:eastAsiaTheme="minorEastAsia"/>
          <w:sz w:val="28"/>
          <w:szCs w:val="28"/>
          <w:lang w:val="en-US" w:eastAsia="zh-CN"/>
        </w:rPr>
        <w:t xml:space="preserve"> at the age of 12</w:t>
      </w:r>
      <w:r w:rsidR="006147EA">
        <w:rPr>
          <w:rFonts w:eastAsiaTheme="minorEastAsia"/>
          <w:sz w:val="28"/>
          <w:szCs w:val="28"/>
          <w:lang w:val="en-US" w:eastAsia="zh-CN"/>
        </w:rPr>
        <w:t>-</w:t>
      </w:r>
      <w:r w:rsidR="00795F10" w:rsidRPr="00DC0382">
        <w:rPr>
          <w:rFonts w:eastAsiaTheme="minorEastAsia"/>
          <w:sz w:val="28"/>
          <w:szCs w:val="28"/>
          <w:lang w:val="en-US" w:eastAsia="zh-CN"/>
        </w:rPr>
        <w:t>15</w:t>
      </w:r>
      <w:r w:rsidRPr="00DC0382">
        <w:rPr>
          <w:rFonts w:eastAsiaTheme="minorEastAsia"/>
          <w:sz w:val="28"/>
          <w:szCs w:val="28"/>
          <w:lang w:val="en-US" w:eastAsia="zh-CN"/>
        </w:rPr>
        <w:t xml:space="preserve">. Despite such a significant </w:t>
      </w:r>
      <w:r w:rsidR="005C698F" w:rsidRPr="00DC0382">
        <w:rPr>
          <w:rFonts w:eastAsiaTheme="minorEastAsia"/>
          <w:sz w:val="28"/>
          <w:szCs w:val="28"/>
          <w:lang w:val="en-US" w:eastAsia="zh-CN"/>
        </w:rPr>
        <w:t>Hp</w:t>
      </w:r>
      <w:r w:rsidR="00DF4A85" w:rsidRPr="00DC0382">
        <w:rPr>
          <w:rFonts w:eastAsiaTheme="minorEastAsia"/>
          <w:sz w:val="28"/>
          <w:szCs w:val="28"/>
          <w:lang w:val="en-US" w:eastAsia="zh-CN"/>
        </w:rPr>
        <w:t xml:space="preserve"> </w:t>
      </w:r>
      <w:r w:rsidRPr="00DC0382">
        <w:rPr>
          <w:rFonts w:eastAsiaTheme="minorEastAsia"/>
          <w:sz w:val="28"/>
          <w:szCs w:val="28"/>
          <w:lang w:val="en-US" w:eastAsia="zh-CN"/>
        </w:rPr>
        <w:t xml:space="preserve">prevalence, only a small proportion of infected patients </w:t>
      </w:r>
      <w:r w:rsidR="00FC38CD">
        <w:rPr>
          <w:rFonts w:eastAsiaTheme="minorEastAsia"/>
          <w:sz w:val="28"/>
          <w:szCs w:val="28"/>
          <w:lang w:val="en-US" w:eastAsia="zh-CN"/>
        </w:rPr>
        <w:t>suffer from</w:t>
      </w:r>
      <w:r w:rsidRPr="00DC0382">
        <w:rPr>
          <w:rFonts w:eastAsiaTheme="minorEastAsia"/>
          <w:sz w:val="28"/>
          <w:szCs w:val="28"/>
          <w:lang w:val="en-US" w:eastAsia="zh-CN"/>
        </w:rPr>
        <w:t xml:space="preserve"> </w:t>
      </w:r>
      <w:r w:rsidR="00FC38CD">
        <w:rPr>
          <w:rFonts w:eastAsiaTheme="minorEastAsia"/>
          <w:sz w:val="28"/>
          <w:szCs w:val="28"/>
          <w:lang w:val="en-US" w:eastAsia="zh-CN"/>
        </w:rPr>
        <w:t>certain</w:t>
      </w:r>
      <w:r w:rsidRPr="00DC0382">
        <w:rPr>
          <w:rFonts w:eastAsiaTheme="minorEastAsia"/>
          <w:sz w:val="28"/>
          <w:szCs w:val="28"/>
          <w:lang w:val="en-US" w:eastAsia="zh-CN"/>
        </w:rPr>
        <w:t xml:space="preserve"> </w:t>
      </w:r>
      <w:r w:rsidR="00C27CBD" w:rsidRPr="00DC0382">
        <w:rPr>
          <w:rFonts w:eastAsiaTheme="minorEastAsia"/>
          <w:sz w:val="28"/>
          <w:szCs w:val="28"/>
          <w:lang w:val="en-US" w:eastAsia="zh-CN"/>
        </w:rPr>
        <w:t xml:space="preserve">clinical </w:t>
      </w:r>
      <w:r w:rsidRPr="00DC0382">
        <w:rPr>
          <w:rFonts w:eastAsiaTheme="minorEastAsia"/>
          <w:sz w:val="28"/>
          <w:szCs w:val="28"/>
          <w:lang w:val="en-US" w:eastAsia="zh-CN"/>
        </w:rPr>
        <w:t xml:space="preserve">form of disease. </w:t>
      </w:r>
      <w:r w:rsidR="00FC38CD">
        <w:rPr>
          <w:rFonts w:eastAsiaTheme="minorEastAsia"/>
          <w:sz w:val="28"/>
          <w:szCs w:val="28"/>
          <w:lang w:val="en-US" w:eastAsia="zh-CN"/>
        </w:rPr>
        <w:t>M</w:t>
      </w:r>
      <w:r w:rsidRPr="00DC0382">
        <w:rPr>
          <w:rFonts w:eastAsiaTheme="minorEastAsia"/>
          <w:sz w:val="28"/>
          <w:szCs w:val="28"/>
          <w:lang w:val="en-US" w:eastAsia="zh-CN"/>
        </w:rPr>
        <w:t xml:space="preserve">ajority of </w:t>
      </w:r>
      <w:r w:rsidR="00C27CBD" w:rsidRPr="00DC0382">
        <w:rPr>
          <w:rFonts w:eastAsiaTheme="minorEastAsia"/>
          <w:sz w:val="28"/>
          <w:szCs w:val="28"/>
          <w:lang w:val="en-US" w:eastAsia="zh-CN"/>
        </w:rPr>
        <w:t>the</w:t>
      </w:r>
      <w:r w:rsidRPr="00DC0382">
        <w:rPr>
          <w:rFonts w:eastAsiaTheme="minorEastAsia"/>
          <w:sz w:val="28"/>
          <w:szCs w:val="28"/>
          <w:lang w:val="en-US" w:eastAsia="zh-CN"/>
        </w:rPr>
        <w:t xml:space="preserve"> inf</w:t>
      </w:r>
      <w:r w:rsidR="00C27CBD" w:rsidRPr="00DC0382">
        <w:rPr>
          <w:rFonts w:eastAsiaTheme="minorEastAsia"/>
          <w:sz w:val="28"/>
          <w:szCs w:val="28"/>
          <w:lang w:val="en-US" w:eastAsia="zh-CN"/>
        </w:rPr>
        <w:t>ected are asymptomatic carriers</w:t>
      </w:r>
      <w:r w:rsidRPr="00DC0382">
        <w:rPr>
          <w:rFonts w:eastAsiaTheme="minorEastAsia"/>
          <w:sz w:val="28"/>
          <w:szCs w:val="28"/>
          <w:lang w:val="en-US" w:eastAsia="zh-CN"/>
        </w:rPr>
        <w:t xml:space="preserve">. </w:t>
      </w:r>
      <w:r w:rsidR="00C27CBD" w:rsidRPr="00DC0382">
        <w:rPr>
          <w:rFonts w:eastAsiaTheme="minorEastAsia"/>
          <w:sz w:val="28"/>
          <w:szCs w:val="28"/>
          <w:lang w:val="en-US" w:eastAsia="zh-CN"/>
        </w:rPr>
        <w:t xml:space="preserve">The problem </w:t>
      </w:r>
      <w:r w:rsidR="00C14C58" w:rsidRPr="00DC0382">
        <w:rPr>
          <w:rFonts w:eastAsiaTheme="minorEastAsia"/>
          <w:sz w:val="28"/>
          <w:szCs w:val="28"/>
          <w:lang w:val="en-US" w:eastAsia="zh-CN"/>
        </w:rPr>
        <w:t>of what</w:t>
      </w:r>
      <w:r w:rsidRPr="00DC0382">
        <w:rPr>
          <w:rFonts w:eastAsiaTheme="minorEastAsia"/>
          <w:sz w:val="28"/>
          <w:szCs w:val="28"/>
          <w:lang w:val="en-US" w:eastAsia="zh-CN"/>
        </w:rPr>
        <w:t xml:space="preserve"> determines the development of </w:t>
      </w:r>
      <w:r w:rsidR="00C27CBD" w:rsidRPr="00DC0382">
        <w:rPr>
          <w:rFonts w:eastAsiaTheme="minorEastAsia"/>
          <w:sz w:val="28"/>
          <w:szCs w:val="28"/>
          <w:lang w:val="en-US" w:eastAsia="zh-CN"/>
        </w:rPr>
        <w:t xml:space="preserve">the disease </w:t>
      </w:r>
      <w:r w:rsidRPr="00DC0382">
        <w:rPr>
          <w:rFonts w:eastAsiaTheme="minorEastAsia"/>
          <w:sz w:val="28"/>
          <w:szCs w:val="28"/>
          <w:lang w:val="en-US" w:eastAsia="zh-CN"/>
        </w:rPr>
        <w:t xml:space="preserve">form is </w:t>
      </w:r>
      <w:r w:rsidR="00C14C58" w:rsidRPr="00DC0382">
        <w:rPr>
          <w:rFonts w:eastAsiaTheme="minorEastAsia"/>
          <w:sz w:val="28"/>
          <w:szCs w:val="28"/>
          <w:lang w:val="en-US" w:eastAsia="zh-CN"/>
        </w:rPr>
        <w:t xml:space="preserve">still being </w:t>
      </w:r>
      <w:r w:rsidRPr="00DC0382">
        <w:rPr>
          <w:rFonts w:eastAsiaTheme="minorEastAsia"/>
          <w:sz w:val="28"/>
          <w:szCs w:val="28"/>
          <w:lang w:val="en-US" w:eastAsia="zh-CN"/>
        </w:rPr>
        <w:t xml:space="preserve">the most </w:t>
      </w:r>
      <w:r w:rsidR="00C27CBD" w:rsidRPr="00DC0382">
        <w:rPr>
          <w:rFonts w:eastAsiaTheme="minorEastAsia"/>
          <w:sz w:val="28"/>
          <w:szCs w:val="28"/>
          <w:lang w:val="en-US" w:eastAsia="zh-CN"/>
        </w:rPr>
        <w:t>complicated</w:t>
      </w:r>
      <w:r w:rsidRPr="00DC0382">
        <w:rPr>
          <w:rFonts w:eastAsiaTheme="minorEastAsia"/>
          <w:sz w:val="28"/>
          <w:szCs w:val="28"/>
          <w:lang w:val="en-US" w:eastAsia="zh-CN"/>
        </w:rPr>
        <w:t xml:space="preserve"> and </w:t>
      </w:r>
      <w:r w:rsidR="00C14C58" w:rsidRPr="00DC0382">
        <w:rPr>
          <w:rFonts w:eastAsiaTheme="minorEastAsia"/>
          <w:sz w:val="28"/>
          <w:szCs w:val="28"/>
          <w:lang w:val="en-US" w:eastAsia="zh-CN"/>
        </w:rPr>
        <w:t>not solved yet</w:t>
      </w:r>
      <w:r w:rsidRPr="00DC0382">
        <w:rPr>
          <w:rFonts w:eastAsiaTheme="minorEastAsia"/>
          <w:sz w:val="28"/>
          <w:szCs w:val="28"/>
          <w:lang w:val="en-US" w:eastAsia="zh-CN"/>
        </w:rPr>
        <w:t xml:space="preserve">. Most researchers </w:t>
      </w:r>
      <w:r w:rsidR="00C14C58" w:rsidRPr="00DC0382">
        <w:rPr>
          <w:rFonts w:eastAsiaTheme="minorEastAsia"/>
          <w:sz w:val="28"/>
          <w:szCs w:val="28"/>
          <w:lang w:val="en-US" w:eastAsia="zh-CN"/>
        </w:rPr>
        <w:t>make an assumption</w:t>
      </w:r>
      <w:r w:rsidRPr="00DC0382">
        <w:rPr>
          <w:rFonts w:eastAsiaTheme="minorEastAsia"/>
          <w:sz w:val="28"/>
          <w:szCs w:val="28"/>
          <w:lang w:val="en-US" w:eastAsia="zh-CN"/>
        </w:rPr>
        <w:t xml:space="preserve"> about the leading role of </w:t>
      </w:r>
      <w:proofErr w:type="spellStart"/>
      <w:r w:rsidRPr="00DC0382">
        <w:rPr>
          <w:rFonts w:eastAsiaTheme="minorEastAsia"/>
          <w:sz w:val="28"/>
          <w:szCs w:val="28"/>
          <w:lang w:val="en-US" w:eastAsia="zh-CN"/>
        </w:rPr>
        <w:t>intraspecific</w:t>
      </w:r>
      <w:proofErr w:type="spellEnd"/>
      <w:r w:rsidRPr="00DC0382">
        <w:rPr>
          <w:rFonts w:eastAsiaTheme="minorEastAsia"/>
          <w:sz w:val="28"/>
          <w:szCs w:val="28"/>
          <w:lang w:val="en-US" w:eastAsia="zh-CN"/>
        </w:rPr>
        <w:t xml:space="preserve"> diversity of </w:t>
      </w:r>
      <w:r w:rsidR="00C14C58" w:rsidRPr="00DC0382">
        <w:rPr>
          <w:rFonts w:eastAsiaTheme="minorEastAsia"/>
          <w:sz w:val="28"/>
          <w:szCs w:val="28"/>
          <w:lang w:val="en-US" w:eastAsia="zh-CN"/>
        </w:rPr>
        <w:t xml:space="preserve">Hp </w:t>
      </w:r>
      <w:r w:rsidRPr="00DC0382">
        <w:rPr>
          <w:rFonts w:eastAsiaTheme="minorEastAsia"/>
          <w:sz w:val="28"/>
          <w:szCs w:val="28"/>
          <w:lang w:val="en-US" w:eastAsia="zh-CN"/>
        </w:rPr>
        <w:t xml:space="preserve">strains and their impact </w:t>
      </w:r>
      <w:r w:rsidR="00C14C58" w:rsidRPr="00DC0382">
        <w:rPr>
          <w:rFonts w:eastAsiaTheme="minorEastAsia"/>
          <w:sz w:val="28"/>
          <w:szCs w:val="28"/>
          <w:lang w:val="en-US" w:eastAsia="zh-CN"/>
        </w:rPr>
        <w:t>on the nature of the disease [</w:t>
      </w:r>
      <w:fldSimple w:instr=" REF _Ref381462338 \r \h  \* MERGEFORMAT ">
        <w:r w:rsidR="006D379E" w:rsidRPr="00DC0382">
          <w:rPr>
            <w:rFonts w:eastAsiaTheme="minorEastAsia"/>
            <w:sz w:val="28"/>
            <w:szCs w:val="28"/>
            <w:lang w:val="en-US" w:eastAsia="zh-CN"/>
          </w:rPr>
          <w:t>4</w:t>
        </w:r>
      </w:fldSimple>
      <w:r w:rsidR="00C14C58" w:rsidRPr="00DC0382">
        <w:rPr>
          <w:rFonts w:eastAsiaTheme="minorEastAsia"/>
          <w:sz w:val="28"/>
          <w:szCs w:val="28"/>
          <w:lang w:val="en-US" w:eastAsia="zh-CN"/>
        </w:rPr>
        <w:t xml:space="preserve">, </w:t>
      </w:r>
      <w:fldSimple w:instr=" REF _Ref381462342 \r \h  \* MERGEFORMAT ">
        <w:r w:rsidR="006D379E" w:rsidRPr="00DC0382">
          <w:rPr>
            <w:rFonts w:eastAsiaTheme="minorEastAsia"/>
            <w:sz w:val="28"/>
            <w:szCs w:val="28"/>
            <w:lang w:val="en-US" w:eastAsia="zh-CN"/>
          </w:rPr>
          <w:t>8</w:t>
        </w:r>
      </w:fldSimple>
      <w:r w:rsidR="00C14C58" w:rsidRPr="00DC0382">
        <w:rPr>
          <w:rFonts w:eastAsiaTheme="minorEastAsia"/>
          <w:sz w:val="28"/>
          <w:szCs w:val="28"/>
          <w:lang w:val="en-US" w:eastAsia="zh-CN"/>
        </w:rPr>
        <w:t xml:space="preserve">, </w:t>
      </w:r>
      <w:r w:rsidR="00AF110E" w:rsidRPr="00DC0382">
        <w:rPr>
          <w:rFonts w:eastAsiaTheme="minorEastAsia"/>
          <w:sz w:val="28"/>
          <w:szCs w:val="28"/>
          <w:lang w:val="en-US" w:eastAsia="zh-CN"/>
        </w:rPr>
        <w:fldChar w:fldCharType="begin"/>
      </w:r>
      <w:r w:rsidR="006D379E" w:rsidRPr="00DC0382">
        <w:rPr>
          <w:rFonts w:eastAsiaTheme="minorEastAsia"/>
          <w:sz w:val="28"/>
          <w:szCs w:val="28"/>
          <w:lang w:val="en-US" w:eastAsia="zh-CN"/>
        </w:rPr>
        <w:instrText xml:space="preserve"> REF _Ref381462345 \r \h </w:instrText>
      </w:r>
      <w:r w:rsidR="00DC0382">
        <w:rPr>
          <w:rFonts w:eastAsiaTheme="minorEastAsia"/>
          <w:sz w:val="28"/>
          <w:szCs w:val="28"/>
          <w:lang w:val="en-US" w:eastAsia="zh-CN"/>
        </w:rPr>
        <w:instrText xml:space="preserve"> \* MERGEFORMAT </w:instrText>
      </w:r>
      <w:r w:rsidR="00AF110E" w:rsidRPr="00DC0382">
        <w:rPr>
          <w:rFonts w:eastAsiaTheme="minorEastAsia"/>
          <w:sz w:val="28"/>
          <w:szCs w:val="28"/>
          <w:lang w:val="en-US" w:eastAsia="zh-CN"/>
        </w:rPr>
      </w:r>
      <w:r w:rsidR="00AF110E" w:rsidRPr="00DC0382">
        <w:rPr>
          <w:rFonts w:eastAsiaTheme="minorEastAsia"/>
          <w:sz w:val="28"/>
          <w:szCs w:val="28"/>
          <w:lang w:val="en-US" w:eastAsia="zh-CN"/>
        </w:rPr>
        <w:fldChar w:fldCharType="separate"/>
      </w:r>
      <w:proofErr w:type="gramStart"/>
      <w:r w:rsidR="006D379E" w:rsidRPr="00DC0382">
        <w:rPr>
          <w:rFonts w:eastAsiaTheme="minorEastAsia"/>
          <w:sz w:val="28"/>
          <w:szCs w:val="28"/>
          <w:lang w:val="en-US" w:eastAsia="zh-CN"/>
        </w:rPr>
        <w:t>10</w:t>
      </w:r>
      <w:proofErr w:type="gramEnd"/>
      <w:r w:rsidR="00AF110E" w:rsidRPr="00DC0382">
        <w:rPr>
          <w:rFonts w:eastAsiaTheme="minorEastAsia"/>
          <w:sz w:val="28"/>
          <w:szCs w:val="28"/>
          <w:lang w:val="en-US" w:eastAsia="zh-CN"/>
        </w:rPr>
        <w:fldChar w:fldCharType="end"/>
      </w:r>
      <w:r w:rsidR="00C14C58" w:rsidRPr="00DC0382">
        <w:rPr>
          <w:rFonts w:eastAsiaTheme="minorEastAsia"/>
          <w:sz w:val="28"/>
          <w:szCs w:val="28"/>
          <w:lang w:val="en-US" w:eastAsia="zh-CN"/>
        </w:rPr>
        <w:t>]</w:t>
      </w:r>
      <w:r w:rsidRPr="00DC0382">
        <w:rPr>
          <w:rFonts w:eastAsiaTheme="minorEastAsia"/>
          <w:sz w:val="28"/>
          <w:szCs w:val="28"/>
          <w:lang w:val="en-US" w:eastAsia="zh-CN"/>
        </w:rPr>
        <w:t xml:space="preserve">. </w:t>
      </w:r>
      <w:r w:rsidR="00C14C58" w:rsidRPr="00DC0382">
        <w:rPr>
          <w:rFonts w:eastAsiaTheme="minorEastAsia"/>
          <w:sz w:val="28"/>
          <w:szCs w:val="28"/>
          <w:lang w:val="en-US" w:eastAsia="zh-CN"/>
        </w:rPr>
        <w:t>Genome of th</w:t>
      </w:r>
      <w:r w:rsidR="002559F0" w:rsidRPr="00DC0382">
        <w:rPr>
          <w:rFonts w:eastAsiaTheme="minorEastAsia"/>
          <w:sz w:val="28"/>
          <w:szCs w:val="28"/>
          <w:lang w:val="en-US" w:eastAsia="zh-CN"/>
        </w:rPr>
        <w:t>is</w:t>
      </w:r>
      <w:r w:rsidR="00C14C58" w:rsidRPr="00DC0382">
        <w:rPr>
          <w:rFonts w:eastAsiaTheme="minorEastAsia"/>
          <w:sz w:val="28"/>
          <w:szCs w:val="28"/>
          <w:lang w:val="en-US" w:eastAsia="zh-CN"/>
        </w:rPr>
        <w:t xml:space="preserve"> bacterium </w:t>
      </w:r>
      <w:r w:rsidR="002559F0" w:rsidRPr="00DC0382">
        <w:rPr>
          <w:rFonts w:eastAsiaTheme="minorEastAsia"/>
          <w:sz w:val="28"/>
          <w:szCs w:val="28"/>
          <w:lang w:val="en-US" w:eastAsia="zh-CN"/>
        </w:rPr>
        <w:t>is c</w:t>
      </w:r>
      <w:r w:rsidRPr="00DC0382">
        <w:rPr>
          <w:rFonts w:eastAsiaTheme="minorEastAsia"/>
          <w:sz w:val="28"/>
          <w:szCs w:val="28"/>
          <w:lang w:val="en-US" w:eastAsia="zh-CN"/>
        </w:rPr>
        <w:t xml:space="preserve">urrently deciphered, and active </w:t>
      </w:r>
      <w:r w:rsidR="002559F0" w:rsidRPr="00DC0382">
        <w:rPr>
          <w:rFonts w:eastAsiaTheme="minorEastAsia"/>
          <w:sz w:val="28"/>
          <w:szCs w:val="28"/>
          <w:lang w:val="en-US" w:eastAsia="zh-CN"/>
        </w:rPr>
        <w:t>investigation of</w:t>
      </w:r>
      <w:r w:rsidRPr="00DC0382">
        <w:rPr>
          <w:rFonts w:eastAsiaTheme="minorEastAsia"/>
          <w:sz w:val="28"/>
          <w:szCs w:val="28"/>
          <w:lang w:val="en-US" w:eastAsia="zh-CN"/>
        </w:rPr>
        <w:t xml:space="preserve"> </w:t>
      </w:r>
      <w:r w:rsidR="005C698F" w:rsidRPr="00DC0382">
        <w:rPr>
          <w:rFonts w:eastAsiaTheme="minorEastAsia"/>
          <w:sz w:val="28"/>
          <w:szCs w:val="28"/>
          <w:lang w:val="en-US" w:eastAsia="zh-CN"/>
        </w:rPr>
        <w:t>Hp</w:t>
      </w:r>
      <w:r w:rsidRPr="00DC0382">
        <w:rPr>
          <w:rFonts w:eastAsiaTheme="minorEastAsia"/>
          <w:sz w:val="28"/>
          <w:szCs w:val="28"/>
          <w:lang w:val="en-US" w:eastAsia="zh-CN"/>
        </w:rPr>
        <w:t xml:space="preserve"> strains</w:t>
      </w:r>
      <w:r w:rsidR="00FC38CD">
        <w:rPr>
          <w:rFonts w:eastAsiaTheme="minorEastAsia"/>
          <w:sz w:val="28"/>
          <w:szCs w:val="28"/>
          <w:lang w:val="en-US" w:eastAsia="zh-CN"/>
        </w:rPr>
        <w:t>,</w:t>
      </w:r>
      <w:r w:rsidRPr="00DC0382">
        <w:rPr>
          <w:rFonts w:eastAsiaTheme="minorEastAsia"/>
          <w:sz w:val="28"/>
          <w:szCs w:val="28"/>
          <w:lang w:val="en-US" w:eastAsia="zh-CN"/>
        </w:rPr>
        <w:t xml:space="preserve"> specific for the development of </w:t>
      </w:r>
      <w:r w:rsidR="002559F0" w:rsidRPr="00DC0382">
        <w:rPr>
          <w:rFonts w:eastAsiaTheme="minorEastAsia"/>
          <w:sz w:val="28"/>
          <w:szCs w:val="28"/>
          <w:lang w:val="en-US" w:eastAsia="zh-CN"/>
        </w:rPr>
        <w:t>concrete</w:t>
      </w:r>
      <w:r w:rsidRPr="00DC0382">
        <w:rPr>
          <w:rFonts w:eastAsiaTheme="minorEastAsia"/>
          <w:sz w:val="28"/>
          <w:szCs w:val="28"/>
          <w:lang w:val="en-US" w:eastAsia="zh-CN"/>
        </w:rPr>
        <w:t xml:space="preserve"> </w:t>
      </w:r>
      <w:proofErr w:type="spellStart"/>
      <w:r w:rsidRPr="00DC0382">
        <w:rPr>
          <w:rFonts w:eastAsiaTheme="minorEastAsia"/>
          <w:sz w:val="28"/>
          <w:szCs w:val="28"/>
          <w:lang w:val="en-US" w:eastAsia="zh-CN"/>
        </w:rPr>
        <w:t>gastroduodenal</w:t>
      </w:r>
      <w:proofErr w:type="spellEnd"/>
      <w:r w:rsidRPr="00DC0382">
        <w:rPr>
          <w:rFonts w:eastAsiaTheme="minorEastAsia"/>
          <w:sz w:val="28"/>
          <w:szCs w:val="28"/>
          <w:lang w:val="en-US" w:eastAsia="zh-CN"/>
        </w:rPr>
        <w:t xml:space="preserve"> diseases</w:t>
      </w:r>
      <w:r w:rsidR="00FC38CD">
        <w:rPr>
          <w:rFonts w:eastAsiaTheme="minorEastAsia"/>
          <w:sz w:val="28"/>
          <w:szCs w:val="28"/>
          <w:lang w:val="en-US" w:eastAsia="zh-CN"/>
        </w:rPr>
        <w:t>,</w:t>
      </w:r>
      <w:r w:rsidR="002559F0" w:rsidRPr="00DC0382">
        <w:rPr>
          <w:rFonts w:eastAsiaTheme="minorEastAsia"/>
          <w:sz w:val="28"/>
          <w:szCs w:val="28"/>
          <w:lang w:val="en-US" w:eastAsia="zh-CN"/>
        </w:rPr>
        <w:t xml:space="preserve"> is carried out</w:t>
      </w:r>
      <w:r w:rsidRPr="00DC0382">
        <w:rPr>
          <w:rFonts w:eastAsiaTheme="minorEastAsia"/>
          <w:sz w:val="28"/>
          <w:szCs w:val="28"/>
          <w:lang w:val="en-US" w:eastAsia="zh-CN"/>
        </w:rPr>
        <w:t xml:space="preserve">. However, reports on the role of different strains in </w:t>
      </w:r>
      <w:r w:rsidR="002559F0" w:rsidRPr="00DC0382">
        <w:rPr>
          <w:rFonts w:eastAsiaTheme="minorEastAsia"/>
          <w:sz w:val="28"/>
          <w:szCs w:val="28"/>
          <w:lang w:val="en-US" w:eastAsia="zh-CN"/>
        </w:rPr>
        <w:t xml:space="preserve">CGDP </w:t>
      </w:r>
      <w:r w:rsidRPr="00DC0382">
        <w:rPr>
          <w:rFonts w:eastAsiaTheme="minorEastAsia"/>
          <w:sz w:val="28"/>
          <w:szCs w:val="28"/>
          <w:lang w:val="en-US" w:eastAsia="zh-CN"/>
        </w:rPr>
        <w:t xml:space="preserve">development </w:t>
      </w:r>
      <w:r w:rsidR="002559F0" w:rsidRPr="00DC0382">
        <w:rPr>
          <w:rFonts w:eastAsiaTheme="minorEastAsia"/>
          <w:sz w:val="28"/>
          <w:szCs w:val="28"/>
          <w:lang w:val="en-US" w:eastAsia="zh-CN"/>
        </w:rPr>
        <w:t>in</w:t>
      </w:r>
      <w:r w:rsidRPr="00DC0382">
        <w:rPr>
          <w:rFonts w:eastAsiaTheme="minorEastAsia"/>
          <w:sz w:val="28"/>
          <w:szCs w:val="28"/>
          <w:lang w:val="en-US" w:eastAsia="zh-CN"/>
        </w:rPr>
        <w:t xml:space="preserve"> pediatric patients are scarce and </w:t>
      </w:r>
      <w:r w:rsidR="002559F0" w:rsidRPr="00DC0382">
        <w:rPr>
          <w:rFonts w:eastAsiaTheme="minorEastAsia"/>
          <w:sz w:val="28"/>
          <w:szCs w:val="28"/>
          <w:lang w:val="en-US" w:eastAsia="zh-CN"/>
        </w:rPr>
        <w:t>rather</w:t>
      </w:r>
      <w:r w:rsidRPr="00DC0382">
        <w:rPr>
          <w:rFonts w:eastAsiaTheme="minorEastAsia"/>
          <w:sz w:val="28"/>
          <w:szCs w:val="28"/>
          <w:lang w:val="en-US" w:eastAsia="zh-CN"/>
        </w:rPr>
        <w:t xml:space="preserve"> contradictory.</w:t>
      </w:r>
    </w:p>
    <w:p w:rsidR="00C46884" w:rsidRPr="00DC0382" w:rsidRDefault="005C698F" w:rsidP="00BC7970">
      <w:pPr>
        <w:spacing w:after="0" w:line="360" w:lineRule="auto"/>
        <w:ind w:firstLine="709"/>
        <w:jc w:val="both"/>
        <w:rPr>
          <w:rFonts w:eastAsiaTheme="minorEastAsia"/>
          <w:sz w:val="28"/>
          <w:szCs w:val="28"/>
          <w:lang w:val="en-US" w:eastAsia="zh-CN"/>
        </w:rPr>
      </w:pPr>
      <w:r w:rsidRPr="00DC0382">
        <w:rPr>
          <w:rFonts w:eastAsiaTheme="minorEastAsia"/>
          <w:sz w:val="28"/>
          <w:szCs w:val="28"/>
          <w:lang w:val="en-US" w:eastAsia="zh-CN"/>
        </w:rPr>
        <w:t>Hp</w:t>
      </w:r>
      <w:r w:rsidR="00C46884" w:rsidRPr="00DC0382">
        <w:rPr>
          <w:rFonts w:eastAsiaTheme="minorEastAsia"/>
          <w:sz w:val="28"/>
          <w:szCs w:val="28"/>
          <w:lang w:val="en-US" w:eastAsia="zh-CN"/>
        </w:rPr>
        <w:t xml:space="preserve"> genome has </w:t>
      </w:r>
      <w:proofErr w:type="spellStart"/>
      <w:r w:rsidR="00C46884" w:rsidRPr="00DC0382">
        <w:rPr>
          <w:rFonts w:eastAsiaTheme="minorEastAsia"/>
          <w:sz w:val="28"/>
          <w:szCs w:val="28"/>
          <w:lang w:val="en-US" w:eastAsia="zh-CN"/>
        </w:rPr>
        <w:t>vacA</w:t>
      </w:r>
      <w:proofErr w:type="spellEnd"/>
      <w:r w:rsidR="00C46884" w:rsidRPr="00DC0382">
        <w:rPr>
          <w:rFonts w:eastAsiaTheme="minorEastAsia"/>
          <w:sz w:val="28"/>
          <w:szCs w:val="28"/>
          <w:lang w:val="en-US" w:eastAsia="zh-CN"/>
        </w:rPr>
        <w:t xml:space="preserve">, </w:t>
      </w:r>
      <w:proofErr w:type="spellStart"/>
      <w:r w:rsidR="00C46884" w:rsidRPr="00DC0382">
        <w:rPr>
          <w:rFonts w:eastAsiaTheme="minorEastAsia"/>
          <w:sz w:val="28"/>
          <w:szCs w:val="28"/>
          <w:lang w:val="en-US" w:eastAsia="zh-CN"/>
        </w:rPr>
        <w:t>cagA</w:t>
      </w:r>
      <w:proofErr w:type="spellEnd"/>
      <w:r w:rsidR="00C46884" w:rsidRPr="00DC0382">
        <w:rPr>
          <w:rFonts w:eastAsiaTheme="minorEastAsia"/>
          <w:sz w:val="28"/>
          <w:szCs w:val="28"/>
          <w:lang w:val="en-US" w:eastAsia="zh-CN"/>
        </w:rPr>
        <w:t xml:space="preserve"> genes associated with increased </w:t>
      </w:r>
      <w:proofErr w:type="spellStart"/>
      <w:r w:rsidR="00C46884" w:rsidRPr="00DC0382">
        <w:rPr>
          <w:rFonts w:eastAsiaTheme="minorEastAsia"/>
          <w:sz w:val="28"/>
          <w:szCs w:val="28"/>
          <w:lang w:val="en-US" w:eastAsia="zh-CN"/>
        </w:rPr>
        <w:t>pathogenicity</w:t>
      </w:r>
      <w:proofErr w:type="spellEnd"/>
      <w:r w:rsidR="00C46884" w:rsidRPr="00DC0382">
        <w:rPr>
          <w:rFonts w:eastAsiaTheme="minorEastAsia"/>
          <w:sz w:val="28"/>
          <w:szCs w:val="28"/>
          <w:lang w:val="en-US" w:eastAsia="zh-CN"/>
        </w:rPr>
        <w:t xml:space="preserve"> of </w:t>
      </w:r>
      <w:r w:rsidR="00720C90" w:rsidRPr="00DC0382">
        <w:rPr>
          <w:rFonts w:eastAsiaTheme="minorEastAsia"/>
          <w:sz w:val="28"/>
          <w:szCs w:val="28"/>
          <w:lang w:val="en-US" w:eastAsia="zh-CN"/>
        </w:rPr>
        <w:t xml:space="preserve">the </w:t>
      </w:r>
      <w:r w:rsidR="00C46884" w:rsidRPr="00DC0382">
        <w:rPr>
          <w:rFonts w:eastAsiaTheme="minorEastAsia"/>
          <w:sz w:val="28"/>
          <w:szCs w:val="28"/>
          <w:lang w:val="en-US" w:eastAsia="zh-CN"/>
        </w:rPr>
        <w:t>microorganism [</w:t>
      </w:r>
      <w:fldSimple w:instr=" REF _Ref381462373 \r \h  \* MERGEFORMAT ">
        <w:r w:rsidR="006D379E" w:rsidRPr="00DC0382">
          <w:rPr>
            <w:rFonts w:eastAsiaTheme="minorEastAsia"/>
            <w:sz w:val="28"/>
            <w:szCs w:val="28"/>
            <w:lang w:val="en-US" w:eastAsia="zh-CN"/>
          </w:rPr>
          <w:t>1</w:t>
        </w:r>
      </w:fldSimple>
      <w:r w:rsidR="00C46884" w:rsidRPr="00DC0382">
        <w:rPr>
          <w:rFonts w:eastAsiaTheme="minorEastAsia"/>
          <w:sz w:val="28"/>
          <w:szCs w:val="28"/>
          <w:lang w:val="en-US" w:eastAsia="zh-CN"/>
        </w:rPr>
        <w:t xml:space="preserve">, </w:t>
      </w:r>
      <w:fldSimple w:instr=" REF _Ref381462379 \r \h  \* MERGEFORMAT ">
        <w:r w:rsidR="006D379E" w:rsidRPr="00DC0382">
          <w:rPr>
            <w:rFonts w:eastAsiaTheme="minorEastAsia"/>
            <w:sz w:val="28"/>
            <w:szCs w:val="28"/>
            <w:lang w:val="en-US" w:eastAsia="zh-CN"/>
          </w:rPr>
          <w:t>16</w:t>
        </w:r>
      </w:fldSimple>
      <w:r w:rsidR="00C46884" w:rsidRPr="00DC0382">
        <w:rPr>
          <w:rFonts w:eastAsiaTheme="minorEastAsia"/>
          <w:sz w:val="28"/>
          <w:szCs w:val="28"/>
          <w:lang w:val="en-US" w:eastAsia="zh-CN"/>
        </w:rPr>
        <w:t xml:space="preserve">]. Development of such significant gastric diseases as atrophic gastritis, gastric and duodenal ulcers, </w:t>
      </w:r>
      <w:proofErr w:type="gramStart"/>
      <w:r w:rsidR="00C46884" w:rsidRPr="00DC0382">
        <w:rPr>
          <w:rFonts w:eastAsiaTheme="minorEastAsia"/>
          <w:sz w:val="28"/>
          <w:szCs w:val="28"/>
          <w:lang w:val="en-US" w:eastAsia="zh-CN"/>
        </w:rPr>
        <w:t>gastric</w:t>
      </w:r>
      <w:proofErr w:type="gramEnd"/>
      <w:r w:rsidR="00C46884" w:rsidRPr="00DC0382">
        <w:rPr>
          <w:rFonts w:eastAsiaTheme="minorEastAsia"/>
          <w:sz w:val="28"/>
          <w:szCs w:val="28"/>
          <w:lang w:val="en-US" w:eastAsia="zh-CN"/>
        </w:rPr>
        <w:t xml:space="preserve"> cancer is closely connected with their presence. </w:t>
      </w:r>
      <w:r w:rsidR="00EF77BE" w:rsidRPr="00DC0382">
        <w:rPr>
          <w:rFonts w:eastAsiaTheme="minorEastAsia"/>
          <w:sz w:val="28"/>
          <w:szCs w:val="28"/>
          <w:lang w:val="en-US" w:eastAsia="zh-CN"/>
        </w:rPr>
        <w:t>Being the</w:t>
      </w:r>
      <w:r w:rsidR="00C46884" w:rsidRPr="00DC0382">
        <w:rPr>
          <w:rFonts w:eastAsiaTheme="minorEastAsia"/>
          <w:sz w:val="28"/>
          <w:szCs w:val="28"/>
          <w:lang w:val="en-US" w:eastAsia="zh-CN"/>
        </w:rPr>
        <w:t xml:space="preserve"> most studied</w:t>
      </w:r>
      <w:r w:rsidR="00EF77BE" w:rsidRPr="00DC0382">
        <w:rPr>
          <w:rFonts w:eastAsiaTheme="minorEastAsia"/>
          <w:sz w:val="28"/>
          <w:szCs w:val="28"/>
          <w:lang w:val="en-US" w:eastAsia="zh-CN"/>
        </w:rPr>
        <w:t>,</w:t>
      </w:r>
      <w:r w:rsidR="00C46884" w:rsidRPr="00DC0382">
        <w:rPr>
          <w:rFonts w:eastAsiaTheme="minorEastAsia"/>
          <w:sz w:val="28"/>
          <w:szCs w:val="28"/>
          <w:lang w:val="en-US" w:eastAsia="zh-CN"/>
        </w:rPr>
        <w:t xml:space="preserve"> </w:t>
      </w:r>
      <w:proofErr w:type="spellStart"/>
      <w:r w:rsidR="00C46884" w:rsidRPr="00DC0382">
        <w:rPr>
          <w:rFonts w:eastAsiaTheme="minorEastAsia"/>
          <w:sz w:val="28"/>
          <w:szCs w:val="28"/>
          <w:lang w:val="en-US" w:eastAsia="zh-CN"/>
        </w:rPr>
        <w:t>vacuolating</w:t>
      </w:r>
      <w:proofErr w:type="spellEnd"/>
      <w:r w:rsidR="00C46884" w:rsidRPr="00DC0382">
        <w:rPr>
          <w:rFonts w:eastAsiaTheme="minorEastAsia"/>
          <w:sz w:val="28"/>
          <w:szCs w:val="28"/>
          <w:lang w:val="en-US" w:eastAsia="zh-CN"/>
        </w:rPr>
        <w:t xml:space="preserve"> </w:t>
      </w:r>
      <w:proofErr w:type="spellStart"/>
      <w:r w:rsidR="00C46884" w:rsidRPr="00DC0382">
        <w:rPr>
          <w:rFonts w:eastAsiaTheme="minorEastAsia"/>
          <w:sz w:val="28"/>
          <w:szCs w:val="28"/>
          <w:lang w:val="en-US" w:eastAsia="zh-CN"/>
        </w:rPr>
        <w:t>cytotoxin</w:t>
      </w:r>
      <w:proofErr w:type="spellEnd"/>
      <w:r w:rsidR="00C46884" w:rsidRPr="00DC0382">
        <w:rPr>
          <w:rFonts w:eastAsiaTheme="minorEastAsia"/>
          <w:sz w:val="28"/>
          <w:szCs w:val="28"/>
          <w:lang w:val="en-US" w:eastAsia="zh-CN"/>
        </w:rPr>
        <w:t xml:space="preserve">-associated gene </w:t>
      </w:r>
      <w:r w:rsidR="00C46884" w:rsidRPr="00DC0382">
        <w:rPr>
          <w:rFonts w:eastAsiaTheme="minorEastAsia"/>
          <w:sz w:val="28"/>
          <w:szCs w:val="28"/>
          <w:lang w:val="en-US" w:eastAsia="zh-CN"/>
        </w:rPr>
        <w:lastRenderedPageBreak/>
        <w:t>(</w:t>
      </w:r>
      <w:proofErr w:type="spellStart"/>
      <w:r w:rsidR="00EF77BE" w:rsidRPr="00DC0382">
        <w:rPr>
          <w:rFonts w:eastAsiaTheme="minorEastAsia"/>
          <w:sz w:val="28"/>
          <w:szCs w:val="28"/>
          <w:lang w:val="en-US" w:eastAsia="zh-CN"/>
        </w:rPr>
        <w:t>vacA</w:t>
      </w:r>
      <w:proofErr w:type="spellEnd"/>
      <w:r w:rsidR="00EF77BE" w:rsidRPr="00DC0382">
        <w:rPr>
          <w:rFonts w:eastAsiaTheme="minorEastAsia"/>
          <w:sz w:val="28"/>
          <w:szCs w:val="28"/>
          <w:lang w:val="en-US" w:eastAsia="zh-CN"/>
        </w:rPr>
        <w:t xml:space="preserve">) is </w:t>
      </w:r>
      <w:r w:rsidR="00C46884" w:rsidRPr="00DC0382">
        <w:rPr>
          <w:rFonts w:eastAsiaTheme="minorEastAsia"/>
          <w:sz w:val="28"/>
          <w:szCs w:val="28"/>
          <w:lang w:val="en-US" w:eastAsia="zh-CN"/>
        </w:rPr>
        <w:t xml:space="preserve">coding </w:t>
      </w:r>
      <w:r w:rsidR="0076454D" w:rsidRPr="00DC0382">
        <w:rPr>
          <w:rFonts w:eastAsiaTheme="minorEastAsia"/>
          <w:sz w:val="28"/>
          <w:szCs w:val="28"/>
          <w:lang w:val="en-US" w:eastAsia="zh-CN"/>
        </w:rPr>
        <w:t>the formation</w:t>
      </w:r>
      <w:r w:rsidR="00C46884" w:rsidRPr="00DC0382">
        <w:rPr>
          <w:rFonts w:eastAsiaTheme="minorEastAsia"/>
          <w:sz w:val="28"/>
          <w:szCs w:val="28"/>
          <w:lang w:val="en-US" w:eastAsia="zh-CN"/>
        </w:rPr>
        <w:t xml:space="preserve"> </w:t>
      </w:r>
      <w:r w:rsidR="00EF77BE" w:rsidRPr="00DC0382">
        <w:rPr>
          <w:rFonts w:eastAsiaTheme="minorEastAsia"/>
          <w:sz w:val="28"/>
          <w:szCs w:val="28"/>
          <w:lang w:val="en-US" w:eastAsia="zh-CN"/>
        </w:rPr>
        <w:t xml:space="preserve">of </w:t>
      </w:r>
      <w:proofErr w:type="spellStart"/>
      <w:r w:rsidR="00C46884" w:rsidRPr="00DC0382">
        <w:rPr>
          <w:rFonts w:eastAsiaTheme="minorEastAsia"/>
          <w:sz w:val="28"/>
          <w:szCs w:val="28"/>
          <w:lang w:val="en-US" w:eastAsia="zh-CN"/>
        </w:rPr>
        <w:t>vacuolating</w:t>
      </w:r>
      <w:proofErr w:type="spellEnd"/>
      <w:r w:rsidR="00C46884" w:rsidRPr="00DC0382">
        <w:rPr>
          <w:rFonts w:eastAsiaTheme="minorEastAsia"/>
          <w:sz w:val="28"/>
          <w:szCs w:val="28"/>
          <w:lang w:val="en-US" w:eastAsia="zh-CN"/>
        </w:rPr>
        <w:t xml:space="preserve"> </w:t>
      </w:r>
      <w:proofErr w:type="spellStart"/>
      <w:r w:rsidR="00C46884" w:rsidRPr="00DC0382">
        <w:rPr>
          <w:rFonts w:eastAsiaTheme="minorEastAsia"/>
          <w:sz w:val="28"/>
          <w:szCs w:val="28"/>
          <w:lang w:val="en-US" w:eastAsia="zh-CN"/>
        </w:rPr>
        <w:t>cytotoxin</w:t>
      </w:r>
      <w:proofErr w:type="spellEnd"/>
      <w:r w:rsidR="00C46884" w:rsidRPr="00DC0382">
        <w:rPr>
          <w:rFonts w:eastAsiaTheme="minorEastAsia"/>
          <w:sz w:val="28"/>
          <w:szCs w:val="28"/>
          <w:lang w:val="en-US" w:eastAsia="zh-CN"/>
        </w:rPr>
        <w:t xml:space="preserve"> A, which creates an acid environment inside the vacuoles </w:t>
      </w:r>
      <w:r w:rsidR="00EF77BE" w:rsidRPr="00DC0382">
        <w:rPr>
          <w:rFonts w:eastAsiaTheme="minorEastAsia"/>
          <w:sz w:val="28"/>
          <w:szCs w:val="28"/>
          <w:lang w:val="en-US" w:eastAsia="zh-CN"/>
        </w:rPr>
        <w:t xml:space="preserve">of gastric epithelial cells, </w:t>
      </w:r>
      <w:r w:rsidR="00C46884" w:rsidRPr="00DC0382">
        <w:rPr>
          <w:rFonts w:eastAsiaTheme="minorEastAsia"/>
          <w:sz w:val="28"/>
          <w:szCs w:val="28"/>
          <w:lang w:val="en-US" w:eastAsia="zh-CN"/>
        </w:rPr>
        <w:t>thus ensur</w:t>
      </w:r>
      <w:r w:rsidR="00EF77BE" w:rsidRPr="00DC0382">
        <w:rPr>
          <w:rFonts w:eastAsiaTheme="minorEastAsia"/>
          <w:sz w:val="28"/>
          <w:szCs w:val="28"/>
          <w:lang w:val="en-US" w:eastAsia="zh-CN"/>
        </w:rPr>
        <w:t>ing</w:t>
      </w:r>
      <w:r w:rsidR="00C46884" w:rsidRPr="00DC0382">
        <w:rPr>
          <w:rFonts w:eastAsiaTheme="minorEastAsia"/>
          <w:sz w:val="28"/>
          <w:szCs w:val="28"/>
          <w:lang w:val="en-US" w:eastAsia="zh-CN"/>
        </w:rPr>
        <w:t xml:space="preserve"> the supply </w:t>
      </w:r>
      <w:r w:rsidR="00EF77BE" w:rsidRPr="00DC0382">
        <w:rPr>
          <w:rFonts w:eastAsiaTheme="minorEastAsia"/>
          <w:sz w:val="28"/>
          <w:szCs w:val="28"/>
          <w:lang w:val="en-US" w:eastAsia="zh-CN"/>
        </w:rPr>
        <w:t xml:space="preserve">of ammonia and other substances from the </w:t>
      </w:r>
      <w:r w:rsidR="00C46884" w:rsidRPr="00DC0382">
        <w:rPr>
          <w:rFonts w:eastAsiaTheme="minorEastAsia"/>
          <w:sz w:val="28"/>
          <w:szCs w:val="28"/>
          <w:lang w:val="en-US" w:eastAsia="zh-CN"/>
        </w:rPr>
        <w:t xml:space="preserve">intracellular space </w:t>
      </w:r>
      <w:r w:rsidR="00EF77BE" w:rsidRPr="00DC0382">
        <w:rPr>
          <w:rFonts w:eastAsiaTheme="minorEastAsia"/>
          <w:sz w:val="28"/>
          <w:szCs w:val="28"/>
          <w:lang w:val="en-US" w:eastAsia="zh-CN"/>
        </w:rPr>
        <w:t>to the</w:t>
      </w:r>
      <w:r w:rsidR="00C46884" w:rsidRPr="00DC0382">
        <w:rPr>
          <w:rFonts w:eastAsiaTheme="minorEastAsia"/>
          <w:sz w:val="28"/>
          <w:szCs w:val="28"/>
          <w:lang w:val="en-US" w:eastAsia="zh-CN"/>
        </w:rPr>
        <w:t xml:space="preserve"> vacuoles.</w:t>
      </w:r>
      <w:r w:rsidR="00EF77BE" w:rsidRPr="00DC0382">
        <w:rPr>
          <w:rFonts w:eastAsiaTheme="minorEastAsia"/>
          <w:sz w:val="28"/>
          <w:szCs w:val="28"/>
          <w:lang w:val="en-US" w:eastAsia="zh-CN"/>
        </w:rPr>
        <w:t xml:space="preserve"> These substances attract water</w:t>
      </w:r>
      <w:r w:rsidR="00C46884" w:rsidRPr="00DC0382">
        <w:rPr>
          <w:rFonts w:eastAsiaTheme="minorEastAsia"/>
          <w:sz w:val="28"/>
          <w:szCs w:val="28"/>
          <w:lang w:val="en-US" w:eastAsia="zh-CN"/>
        </w:rPr>
        <w:t xml:space="preserve">, causing swelling of the vacuoles. Merging with each other, vacuoles </w:t>
      </w:r>
      <w:r w:rsidR="00720C90" w:rsidRPr="00DC0382">
        <w:rPr>
          <w:rFonts w:eastAsiaTheme="minorEastAsia"/>
          <w:sz w:val="28"/>
          <w:szCs w:val="28"/>
          <w:lang w:val="en-US" w:eastAsia="zh-CN"/>
        </w:rPr>
        <w:t>cause</w:t>
      </w:r>
      <w:r w:rsidR="00EF77BE" w:rsidRPr="00DC0382">
        <w:rPr>
          <w:rFonts w:eastAsiaTheme="minorEastAsia"/>
          <w:sz w:val="28"/>
          <w:szCs w:val="28"/>
          <w:lang w:val="en-US" w:eastAsia="zh-CN"/>
        </w:rPr>
        <w:t xml:space="preserve"> the</w:t>
      </w:r>
      <w:r w:rsidR="00C46884" w:rsidRPr="00DC0382">
        <w:rPr>
          <w:rFonts w:eastAsiaTheme="minorEastAsia"/>
          <w:sz w:val="28"/>
          <w:szCs w:val="28"/>
          <w:lang w:val="en-US" w:eastAsia="zh-CN"/>
        </w:rPr>
        <w:t xml:space="preserve"> rupture of cell membrane and cell death. </w:t>
      </w:r>
      <w:proofErr w:type="spellStart"/>
      <w:proofErr w:type="gramStart"/>
      <w:r w:rsidR="00D25E43" w:rsidRPr="00DC0382">
        <w:rPr>
          <w:rFonts w:eastAsiaTheme="minorEastAsia"/>
          <w:sz w:val="28"/>
          <w:szCs w:val="28"/>
          <w:lang w:val="en-US" w:eastAsia="zh-CN"/>
        </w:rPr>
        <w:t>v</w:t>
      </w:r>
      <w:r w:rsidR="00C46884" w:rsidRPr="00DC0382">
        <w:rPr>
          <w:rFonts w:eastAsiaTheme="minorEastAsia"/>
          <w:sz w:val="28"/>
          <w:szCs w:val="28"/>
          <w:lang w:val="en-US" w:eastAsia="zh-CN"/>
        </w:rPr>
        <w:t>acA</w:t>
      </w:r>
      <w:proofErr w:type="spellEnd"/>
      <w:proofErr w:type="gramEnd"/>
      <w:r w:rsidR="00C46884" w:rsidRPr="00DC0382">
        <w:rPr>
          <w:rFonts w:eastAsiaTheme="minorEastAsia"/>
          <w:sz w:val="28"/>
          <w:szCs w:val="28"/>
          <w:lang w:val="en-US" w:eastAsia="zh-CN"/>
        </w:rPr>
        <w:t xml:space="preserve"> gene </w:t>
      </w:r>
      <w:r w:rsidR="00EF77BE" w:rsidRPr="00DC0382">
        <w:rPr>
          <w:rFonts w:eastAsiaTheme="minorEastAsia"/>
          <w:sz w:val="28"/>
          <w:szCs w:val="28"/>
          <w:lang w:val="en-US" w:eastAsia="zh-CN"/>
        </w:rPr>
        <w:t xml:space="preserve">is </w:t>
      </w:r>
      <w:r w:rsidR="00C46884" w:rsidRPr="00DC0382">
        <w:rPr>
          <w:rFonts w:eastAsiaTheme="minorEastAsia"/>
          <w:sz w:val="28"/>
          <w:szCs w:val="28"/>
          <w:lang w:val="en-US" w:eastAsia="zh-CN"/>
        </w:rPr>
        <w:t xml:space="preserve">present in the genome of </w:t>
      </w:r>
      <w:r w:rsidR="00EF77BE" w:rsidRPr="00DC0382">
        <w:rPr>
          <w:rFonts w:eastAsiaTheme="minorEastAsia"/>
          <w:sz w:val="28"/>
          <w:szCs w:val="28"/>
          <w:lang w:val="en-US" w:eastAsia="zh-CN"/>
        </w:rPr>
        <w:t xml:space="preserve">all the </w:t>
      </w:r>
      <w:r w:rsidRPr="00DC0382">
        <w:rPr>
          <w:rFonts w:eastAsiaTheme="minorEastAsia"/>
          <w:sz w:val="28"/>
          <w:szCs w:val="28"/>
          <w:lang w:val="en-US" w:eastAsia="zh-CN"/>
        </w:rPr>
        <w:t>Hp</w:t>
      </w:r>
      <w:r w:rsidR="00EF77BE" w:rsidRPr="00DC0382">
        <w:rPr>
          <w:rFonts w:eastAsiaTheme="minorEastAsia"/>
          <w:sz w:val="28"/>
          <w:szCs w:val="28"/>
          <w:lang w:val="en-US" w:eastAsia="zh-CN"/>
        </w:rPr>
        <w:t xml:space="preserve"> </w:t>
      </w:r>
      <w:r w:rsidR="00C46884" w:rsidRPr="00DC0382">
        <w:rPr>
          <w:rFonts w:eastAsiaTheme="minorEastAsia"/>
          <w:sz w:val="28"/>
          <w:szCs w:val="28"/>
          <w:lang w:val="en-US" w:eastAsia="zh-CN"/>
        </w:rPr>
        <w:t>strains</w:t>
      </w:r>
      <w:r w:rsidR="00EF77BE" w:rsidRPr="00DC0382">
        <w:rPr>
          <w:rFonts w:eastAsiaTheme="minorEastAsia"/>
          <w:sz w:val="28"/>
          <w:szCs w:val="28"/>
          <w:lang w:val="en-US" w:eastAsia="zh-CN"/>
        </w:rPr>
        <w:t>,</w:t>
      </w:r>
      <w:r w:rsidR="00C46884" w:rsidRPr="00DC0382">
        <w:rPr>
          <w:rFonts w:eastAsiaTheme="minorEastAsia"/>
          <w:sz w:val="28"/>
          <w:szCs w:val="28"/>
          <w:lang w:val="en-US" w:eastAsia="zh-CN"/>
        </w:rPr>
        <w:t xml:space="preserve"> ha</w:t>
      </w:r>
      <w:r w:rsidR="00EF77BE" w:rsidRPr="00DC0382">
        <w:rPr>
          <w:rFonts w:eastAsiaTheme="minorEastAsia"/>
          <w:sz w:val="28"/>
          <w:szCs w:val="28"/>
          <w:lang w:val="en-US" w:eastAsia="zh-CN"/>
        </w:rPr>
        <w:t>ving</w:t>
      </w:r>
      <w:r w:rsidR="00C46884" w:rsidRPr="00DC0382">
        <w:rPr>
          <w:rFonts w:eastAsiaTheme="minorEastAsia"/>
          <w:sz w:val="28"/>
          <w:szCs w:val="28"/>
          <w:lang w:val="en-US" w:eastAsia="zh-CN"/>
        </w:rPr>
        <w:t xml:space="preserve"> a mosaic structure and </w:t>
      </w:r>
      <w:r w:rsidR="00EF77BE" w:rsidRPr="00DC0382">
        <w:rPr>
          <w:rFonts w:eastAsiaTheme="minorEastAsia"/>
          <w:sz w:val="28"/>
          <w:szCs w:val="28"/>
          <w:lang w:val="en-US" w:eastAsia="zh-CN"/>
        </w:rPr>
        <w:t>containing</w:t>
      </w:r>
      <w:r w:rsidR="00C46884" w:rsidRPr="00DC0382">
        <w:rPr>
          <w:rFonts w:eastAsiaTheme="minorEastAsia"/>
          <w:sz w:val="28"/>
          <w:szCs w:val="28"/>
          <w:lang w:val="en-US" w:eastAsia="zh-CN"/>
        </w:rPr>
        <w:t xml:space="preserve"> </w:t>
      </w:r>
      <w:r w:rsidR="00EF77BE" w:rsidRPr="00DC0382">
        <w:rPr>
          <w:rFonts w:eastAsiaTheme="minorEastAsia"/>
          <w:sz w:val="28"/>
          <w:szCs w:val="28"/>
          <w:lang w:val="en-US" w:eastAsia="zh-CN"/>
        </w:rPr>
        <w:t>variable parts: s-region (</w:t>
      </w:r>
      <w:r w:rsidR="00C46884" w:rsidRPr="00DC0382">
        <w:rPr>
          <w:rFonts w:eastAsiaTheme="minorEastAsia"/>
          <w:sz w:val="28"/>
          <w:szCs w:val="28"/>
          <w:lang w:val="en-US" w:eastAsia="zh-CN"/>
        </w:rPr>
        <w:t>coding the signal p</w:t>
      </w:r>
      <w:r w:rsidR="00512AC1" w:rsidRPr="00DC0382">
        <w:rPr>
          <w:rFonts w:eastAsiaTheme="minorEastAsia"/>
          <w:sz w:val="28"/>
          <w:szCs w:val="28"/>
          <w:lang w:val="en-US" w:eastAsia="zh-CN"/>
        </w:rPr>
        <w:t>eptide) and m-region (</w:t>
      </w:r>
      <w:r w:rsidR="00C46884" w:rsidRPr="00DC0382">
        <w:rPr>
          <w:rFonts w:eastAsiaTheme="minorEastAsia"/>
          <w:sz w:val="28"/>
          <w:szCs w:val="28"/>
          <w:lang w:val="en-US" w:eastAsia="zh-CN"/>
        </w:rPr>
        <w:t xml:space="preserve">coding the middle </w:t>
      </w:r>
      <w:r w:rsidR="00512AC1" w:rsidRPr="00DC0382">
        <w:rPr>
          <w:rFonts w:eastAsiaTheme="minorEastAsia"/>
          <w:sz w:val="28"/>
          <w:szCs w:val="28"/>
          <w:lang w:val="en-US" w:eastAsia="zh-CN"/>
        </w:rPr>
        <w:t>area</w:t>
      </w:r>
      <w:r w:rsidR="00C46884" w:rsidRPr="00DC0382">
        <w:rPr>
          <w:rFonts w:eastAsiaTheme="minorEastAsia"/>
          <w:sz w:val="28"/>
          <w:szCs w:val="28"/>
          <w:lang w:val="en-US" w:eastAsia="zh-CN"/>
        </w:rPr>
        <w:t xml:space="preserve"> of the mature protein). </w:t>
      </w:r>
      <w:r w:rsidR="00512AC1" w:rsidRPr="00DC0382">
        <w:rPr>
          <w:rFonts w:eastAsiaTheme="minorEastAsia"/>
          <w:sz w:val="28"/>
          <w:szCs w:val="28"/>
          <w:lang w:val="en-US" w:eastAsia="zh-CN"/>
        </w:rPr>
        <w:t>Allelic variants of this gene with differing size</w:t>
      </w:r>
      <w:r w:rsidR="00C46884" w:rsidRPr="00DC0382">
        <w:rPr>
          <w:rFonts w:eastAsiaTheme="minorEastAsia"/>
          <w:sz w:val="28"/>
          <w:szCs w:val="28"/>
          <w:lang w:val="en-US" w:eastAsia="zh-CN"/>
        </w:rPr>
        <w:t xml:space="preserve"> and nucleotide sequences</w:t>
      </w:r>
      <w:r w:rsidR="00512AC1" w:rsidRPr="00DC0382">
        <w:rPr>
          <w:rFonts w:eastAsiaTheme="minorEastAsia"/>
          <w:sz w:val="28"/>
          <w:szCs w:val="28"/>
          <w:lang w:val="en-US" w:eastAsia="zh-CN"/>
        </w:rPr>
        <w:t xml:space="preserve"> are described</w:t>
      </w:r>
      <w:r w:rsidR="00C46884" w:rsidRPr="00DC0382">
        <w:rPr>
          <w:rFonts w:eastAsiaTheme="minorEastAsia"/>
          <w:sz w:val="28"/>
          <w:szCs w:val="28"/>
          <w:lang w:val="en-US" w:eastAsia="zh-CN"/>
        </w:rPr>
        <w:t xml:space="preserve">: s1 or s2, </w:t>
      </w:r>
      <w:r w:rsidR="00512AC1" w:rsidRPr="00DC0382">
        <w:rPr>
          <w:rFonts w:eastAsiaTheme="minorEastAsia"/>
          <w:sz w:val="28"/>
          <w:szCs w:val="28"/>
          <w:lang w:val="en-US" w:eastAsia="zh-CN"/>
        </w:rPr>
        <w:t>and</w:t>
      </w:r>
      <w:r w:rsidR="00C46884" w:rsidRPr="00DC0382">
        <w:rPr>
          <w:rFonts w:eastAsiaTheme="minorEastAsia"/>
          <w:sz w:val="28"/>
          <w:szCs w:val="28"/>
          <w:lang w:val="en-US" w:eastAsia="zh-CN"/>
        </w:rPr>
        <w:t xml:space="preserve"> m1 </w:t>
      </w:r>
      <w:r w:rsidR="00512AC1" w:rsidRPr="00DC0382">
        <w:rPr>
          <w:rFonts w:eastAsiaTheme="minorEastAsia"/>
          <w:sz w:val="28"/>
          <w:szCs w:val="28"/>
          <w:lang w:val="en-US" w:eastAsia="zh-CN"/>
        </w:rPr>
        <w:t>or</w:t>
      </w:r>
      <w:r w:rsidR="00C46884" w:rsidRPr="00DC0382">
        <w:rPr>
          <w:rFonts w:eastAsiaTheme="minorEastAsia"/>
          <w:sz w:val="28"/>
          <w:szCs w:val="28"/>
          <w:lang w:val="en-US" w:eastAsia="zh-CN"/>
        </w:rPr>
        <w:t xml:space="preserve"> m2 </w:t>
      </w:r>
      <w:r w:rsidR="00512AC1" w:rsidRPr="00DC0382">
        <w:rPr>
          <w:rFonts w:eastAsiaTheme="minorEastAsia"/>
          <w:sz w:val="28"/>
          <w:szCs w:val="28"/>
          <w:lang w:val="en-US" w:eastAsia="zh-CN"/>
        </w:rPr>
        <w:t>correspondingly</w:t>
      </w:r>
      <w:r w:rsidR="00C46884" w:rsidRPr="00DC0382">
        <w:rPr>
          <w:rFonts w:eastAsiaTheme="minorEastAsia"/>
          <w:sz w:val="28"/>
          <w:szCs w:val="28"/>
          <w:lang w:val="en-US" w:eastAsia="zh-CN"/>
        </w:rPr>
        <w:t xml:space="preserve">. </w:t>
      </w:r>
      <w:proofErr w:type="gramStart"/>
      <w:r w:rsidR="00D25E43" w:rsidRPr="00DC0382">
        <w:rPr>
          <w:rFonts w:eastAsiaTheme="minorEastAsia"/>
          <w:sz w:val="28"/>
          <w:szCs w:val="28"/>
          <w:lang w:val="en-US" w:eastAsia="zh-CN"/>
        </w:rPr>
        <w:t>s</w:t>
      </w:r>
      <w:r w:rsidR="00C46884" w:rsidRPr="00DC0382">
        <w:rPr>
          <w:rFonts w:eastAsiaTheme="minorEastAsia"/>
          <w:sz w:val="28"/>
          <w:szCs w:val="28"/>
          <w:lang w:val="en-US" w:eastAsia="zh-CN"/>
        </w:rPr>
        <w:t>1/m1</w:t>
      </w:r>
      <w:proofErr w:type="gramEnd"/>
      <w:r w:rsidR="00C46884" w:rsidRPr="00DC0382">
        <w:rPr>
          <w:rFonts w:eastAsiaTheme="minorEastAsia"/>
          <w:sz w:val="28"/>
          <w:szCs w:val="28"/>
          <w:lang w:val="en-US" w:eastAsia="zh-CN"/>
        </w:rPr>
        <w:t xml:space="preserve"> strains have the highest level of </w:t>
      </w:r>
      <w:proofErr w:type="spellStart"/>
      <w:r w:rsidR="00C46884" w:rsidRPr="00DC0382">
        <w:rPr>
          <w:rFonts w:eastAsiaTheme="minorEastAsia"/>
          <w:sz w:val="28"/>
          <w:szCs w:val="28"/>
          <w:lang w:val="en-US" w:eastAsia="zh-CN"/>
        </w:rPr>
        <w:t>cytotoxic</w:t>
      </w:r>
      <w:proofErr w:type="spellEnd"/>
      <w:r w:rsidR="00C46884" w:rsidRPr="00DC0382">
        <w:rPr>
          <w:rFonts w:eastAsiaTheme="minorEastAsia"/>
          <w:sz w:val="28"/>
          <w:szCs w:val="28"/>
          <w:lang w:val="en-US" w:eastAsia="zh-CN"/>
        </w:rPr>
        <w:t xml:space="preserve"> activity</w:t>
      </w:r>
      <w:r w:rsidR="00512AC1" w:rsidRPr="00DC0382">
        <w:rPr>
          <w:rFonts w:eastAsiaTheme="minorEastAsia"/>
          <w:sz w:val="28"/>
          <w:szCs w:val="28"/>
          <w:lang w:val="en-US" w:eastAsia="zh-CN"/>
        </w:rPr>
        <w:t>, m</w:t>
      </w:r>
      <w:r w:rsidR="00C46884" w:rsidRPr="00DC0382">
        <w:rPr>
          <w:rFonts w:eastAsiaTheme="minorEastAsia"/>
          <w:sz w:val="28"/>
          <w:szCs w:val="28"/>
          <w:lang w:val="en-US" w:eastAsia="zh-CN"/>
        </w:rPr>
        <w:t xml:space="preserve">eanwhile s2/m2 strains </w:t>
      </w:r>
      <w:r w:rsidR="00720C90" w:rsidRPr="00DC0382">
        <w:rPr>
          <w:rFonts w:eastAsiaTheme="minorEastAsia"/>
          <w:sz w:val="28"/>
          <w:szCs w:val="28"/>
          <w:lang w:val="en-US" w:eastAsia="zh-CN"/>
        </w:rPr>
        <w:t>show</w:t>
      </w:r>
      <w:r w:rsidR="00512AC1" w:rsidRPr="00DC0382">
        <w:rPr>
          <w:rFonts w:eastAsiaTheme="minorEastAsia"/>
          <w:sz w:val="28"/>
          <w:szCs w:val="28"/>
          <w:lang w:val="en-US" w:eastAsia="zh-CN"/>
        </w:rPr>
        <w:t xml:space="preserve"> insignificant toxic activity [</w:t>
      </w:r>
      <w:fldSimple w:instr=" REF _Ref381462345 \r \h  \* MERGEFORMAT ">
        <w:r w:rsidR="006D379E" w:rsidRPr="00DC0382">
          <w:rPr>
            <w:rFonts w:eastAsiaTheme="minorEastAsia"/>
            <w:sz w:val="28"/>
            <w:szCs w:val="28"/>
            <w:lang w:val="en-US" w:eastAsia="zh-CN"/>
          </w:rPr>
          <w:t>10</w:t>
        </w:r>
      </w:fldSimple>
      <w:r w:rsidR="00C46884" w:rsidRPr="00DC0382">
        <w:rPr>
          <w:rFonts w:eastAsiaTheme="minorEastAsia"/>
          <w:sz w:val="28"/>
          <w:szCs w:val="28"/>
          <w:lang w:val="en-US" w:eastAsia="zh-CN"/>
        </w:rPr>
        <w:t xml:space="preserve">, </w:t>
      </w:r>
      <w:fldSimple w:instr=" REF _Ref381462440 \r \h  \* MERGEFORMAT ">
        <w:r w:rsidR="006D379E" w:rsidRPr="00DC0382">
          <w:rPr>
            <w:rFonts w:eastAsiaTheme="minorEastAsia"/>
            <w:sz w:val="28"/>
            <w:szCs w:val="28"/>
            <w:lang w:val="en-US" w:eastAsia="zh-CN"/>
          </w:rPr>
          <w:t>12</w:t>
        </w:r>
      </w:fldSimple>
      <w:r w:rsidR="00C46884" w:rsidRPr="00DC0382">
        <w:rPr>
          <w:rFonts w:eastAsiaTheme="minorEastAsia"/>
          <w:sz w:val="28"/>
          <w:szCs w:val="28"/>
          <w:lang w:val="en-US" w:eastAsia="zh-CN"/>
        </w:rPr>
        <w:t xml:space="preserve">, </w:t>
      </w:r>
      <w:fldSimple w:instr=" REF _Ref381462443 \r \h  \* MERGEFORMAT ">
        <w:r w:rsidR="006D379E" w:rsidRPr="00DC0382">
          <w:rPr>
            <w:rFonts w:eastAsiaTheme="minorEastAsia"/>
            <w:sz w:val="28"/>
            <w:szCs w:val="28"/>
            <w:lang w:val="en-US" w:eastAsia="zh-CN"/>
          </w:rPr>
          <w:t>15</w:t>
        </w:r>
      </w:fldSimple>
      <w:r w:rsidR="00C46884" w:rsidRPr="00DC0382">
        <w:rPr>
          <w:rFonts w:eastAsiaTheme="minorEastAsia"/>
          <w:sz w:val="28"/>
          <w:szCs w:val="28"/>
          <w:lang w:val="en-US" w:eastAsia="zh-CN"/>
        </w:rPr>
        <w:t>].</w:t>
      </w:r>
    </w:p>
    <w:p w:rsidR="00E516B0" w:rsidRPr="00DC0382" w:rsidRDefault="00E516B0" w:rsidP="00BC7970">
      <w:pPr>
        <w:spacing w:after="0" w:line="360" w:lineRule="auto"/>
        <w:ind w:firstLine="709"/>
        <w:jc w:val="both"/>
        <w:rPr>
          <w:rFonts w:eastAsiaTheme="minorEastAsia"/>
          <w:sz w:val="28"/>
          <w:szCs w:val="28"/>
          <w:lang w:val="en-US" w:eastAsia="zh-CN"/>
        </w:rPr>
      </w:pPr>
      <w:r w:rsidRPr="00DC0382">
        <w:rPr>
          <w:rFonts w:eastAsiaTheme="minorEastAsia"/>
          <w:sz w:val="28"/>
          <w:szCs w:val="28"/>
          <w:lang w:val="en-US" w:eastAsia="zh-CN"/>
        </w:rPr>
        <w:t xml:space="preserve">Chromosomes of some </w:t>
      </w:r>
      <w:r w:rsidR="005C698F" w:rsidRPr="00DC0382">
        <w:rPr>
          <w:rFonts w:eastAsiaTheme="minorEastAsia"/>
          <w:sz w:val="28"/>
          <w:szCs w:val="28"/>
          <w:lang w:val="en-US" w:eastAsia="zh-CN"/>
        </w:rPr>
        <w:t>Hp</w:t>
      </w:r>
      <w:r w:rsidRPr="00DC0382">
        <w:rPr>
          <w:rFonts w:eastAsiaTheme="minorEastAsia"/>
          <w:sz w:val="28"/>
          <w:szCs w:val="28"/>
          <w:lang w:val="en-US" w:eastAsia="zh-CN"/>
        </w:rPr>
        <w:t xml:space="preserve"> strains are ascertained to contain common specific sequence comprising more than 40 genes collected in one of its segments called “</w:t>
      </w:r>
      <w:proofErr w:type="spellStart"/>
      <w:proofErr w:type="gramStart"/>
      <w:r w:rsidRPr="00DC0382">
        <w:rPr>
          <w:rFonts w:eastAsiaTheme="minorEastAsia"/>
          <w:sz w:val="28"/>
          <w:szCs w:val="28"/>
          <w:lang w:val="en-US" w:eastAsia="zh-CN"/>
        </w:rPr>
        <w:t>pathogenicity</w:t>
      </w:r>
      <w:proofErr w:type="spellEnd"/>
      <w:r w:rsidR="001D60EC" w:rsidRPr="00DC0382">
        <w:rPr>
          <w:rFonts w:eastAsiaTheme="minorEastAsia"/>
          <w:sz w:val="28"/>
          <w:szCs w:val="28"/>
          <w:lang w:val="en-US" w:eastAsia="zh-CN"/>
        </w:rPr>
        <w:t xml:space="preserve"> </w:t>
      </w:r>
      <w:r w:rsidRPr="00DC0382">
        <w:rPr>
          <w:rFonts w:eastAsiaTheme="minorEastAsia"/>
          <w:sz w:val="28"/>
          <w:szCs w:val="28"/>
          <w:lang w:val="en-US" w:eastAsia="zh-CN"/>
        </w:rPr>
        <w:t>island</w:t>
      </w:r>
      <w:proofErr w:type="gramEnd"/>
      <w:r w:rsidRPr="00DC0382">
        <w:rPr>
          <w:rFonts w:eastAsiaTheme="minorEastAsia"/>
          <w:sz w:val="28"/>
          <w:szCs w:val="28"/>
          <w:lang w:val="en-US" w:eastAsia="zh-CN"/>
        </w:rPr>
        <w:t xml:space="preserve">”, which is a genetically variable area responsible for the formation of major virulence factors and adhesion of the microorganism to the gastric mucosa. </w:t>
      </w:r>
      <w:proofErr w:type="spellStart"/>
      <w:r w:rsidRPr="00DC0382">
        <w:rPr>
          <w:rFonts w:eastAsiaTheme="minorEastAsia"/>
          <w:sz w:val="28"/>
          <w:szCs w:val="28"/>
          <w:lang w:val="en-US" w:eastAsia="zh-CN"/>
        </w:rPr>
        <w:t>Cytotoxin</w:t>
      </w:r>
      <w:proofErr w:type="spellEnd"/>
      <w:r w:rsidRPr="00DC0382">
        <w:rPr>
          <w:rFonts w:eastAsiaTheme="minorEastAsia"/>
          <w:sz w:val="28"/>
          <w:szCs w:val="28"/>
          <w:lang w:val="en-US" w:eastAsia="zh-CN"/>
        </w:rPr>
        <w:t xml:space="preserve">-associated gene </w:t>
      </w:r>
      <w:proofErr w:type="gramStart"/>
      <w:r w:rsidRPr="00DC0382">
        <w:rPr>
          <w:rFonts w:eastAsiaTheme="minorEastAsia"/>
          <w:sz w:val="28"/>
          <w:szCs w:val="28"/>
          <w:lang w:val="en-US" w:eastAsia="zh-CN"/>
        </w:rPr>
        <w:t>A</w:t>
      </w:r>
      <w:proofErr w:type="gramEnd"/>
      <w:r w:rsidRPr="00DC0382">
        <w:rPr>
          <w:rFonts w:eastAsiaTheme="minorEastAsia"/>
          <w:sz w:val="28"/>
          <w:szCs w:val="28"/>
          <w:lang w:val="en-US" w:eastAsia="zh-CN"/>
        </w:rPr>
        <w:t xml:space="preserve"> (</w:t>
      </w:r>
      <w:proofErr w:type="spellStart"/>
      <w:r w:rsidRPr="00DC0382">
        <w:rPr>
          <w:rFonts w:eastAsiaTheme="minorEastAsia"/>
          <w:sz w:val="28"/>
          <w:szCs w:val="28"/>
          <w:lang w:val="en-US" w:eastAsia="zh-CN"/>
        </w:rPr>
        <w:t>cagA</w:t>
      </w:r>
      <w:proofErr w:type="spellEnd"/>
      <w:r w:rsidRPr="00DC0382">
        <w:rPr>
          <w:rFonts w:eastAsiaTheme="minorEastAsia"/>
          <w:sz w:val="28"/>
          <w:szCs w:val="28"/>
          <w:lang w:val="en-US" w:eastAsia="zh-CN"/>
        </w:rPr>
        <w:t xml:space="preserve">) is a </w:t>
      </w:r>
      <w:proofErr w:type="spellStart"/>
      <w:r w:rsidRPr="00DC0382">
        <w:rPr>
          <w:rFonts w:eastAsiaTheme="minorEastAsia"/>
          <w:sz w:val="28"/>
          <w:szCs w:val="28"/>
          <w:lang w:val="en-US" w:eastAsia="zh-CN"/>
        </w:rPr>
        <w:t>pathogenicity</w:t>
      </w:r>
      <w:proofErr w:type="spellEnd"/>
      <w:r w:rsidRPr="00DC0382">
        <w:rPr>
          <w:rFonts w:eastAsiaTheme="minorEastAsia"/>
          <w:sz w:val="28"/>
          <w:szCs w:val="28"/>
          <w:lang w:val="en-US" w:eastAsia="zh-CN"/>
        </w:rPr>
        <w:t xml:space="preserve"> island’s marker, which encodes a </w:t>
      </w:r>
      <w:r w:rsidR="00D25E43" w:rsidRPr="00DC0382">
        <w:rPr>
          <w:rFonts w:eastAsiaTheme="minorEastAsia"/>
          <w:sz w:val="28"/>
          <w:szCs w:val="28"/>
          <w:lang w:val="en-US" w:eastAsia="zh-CN"/>
        </w:rPr>
        <w:t xml:space="preserve">formation of the cryptic </w:t>
      </w:r>
      <w:proofErr w:type="spellStart"/>
      <w:r w:rsidR="00D25E43" w:rsidRPr="00DC0382">
        <w:rPr>
          <w:rFonts w:eastAsiaTheme="minorEastAsia"/>
          <w:sz w:val="28"/>
          <w:szCs w:val="28"/>
          <w:lang w:val="en-US" w:eastAsia="zh-CN"/>
        </w:rPr>
        <w:t>immunodominant</w:t>
      </w:r>
      <w:proofErr w:type="spellEnd"/>
      <w:r w:rsidR="00D25E43" w:rsidRPr="00DC0382">
        <w:rPr>
          <w:rFonts w:eastAsiaTheme="minorEastAsia"/>
          <w:sz w:val="28"/>
          <w:szCs w:val="28"/>
          <w:lang w:val="en-US" w:eastAsia="zh-CN"/>
        </w:rPr>
        <w:t xml:space="preserve"> </w:t>
      </w:r>
      <w:r w:rsidRPr="00DC0382">
        <w:rPr>
          <w:rFonts w:eastAsiaTheme="minorEastAsia"/>
          <w:sz w:val="28"/>
          <w:szCs w:val="28"/>
          <w:lang w:val="en-US" w:eastAsia="zh-CN"/>
        </w:rPr>
        <w:t>protein</w:t>
      </w:r>
      <w:r w:rsidR="00D25E43" w:rsidRPr="00DC0382">
        <w:rPr>
          <w:rFonts w:eastAsiaTheme="minorEastAsia"/>
          <w:sz w:val="28"/>
          <w:szCs w:val="28"/>
          <w:lang w:val="en-US" w:eastAsia="zh-CN"/>
        </w:rPr>
        <w:t xml:space="preserve"> (</w:t>
      </w:r>
      <w:proofErr w:type="spellStart"/>
      <w:r w:rsidR="00D25E43" w:rsidRPr="00DC0382">
        <w:rPr>
          <w:rFonts w:eastAsiaTheme="minorEastAsia"/>
          <w:sz w:val="28"/>
          <w:szCs w:val="28"/>
          <w:lang w:val="en-US" w:eastAsia="zh-CN"/>
        </w:rPr>
        <w:t>CagA</w:t>
      </w:r>
      <w:proofErr w:type="spellEnd"/>
      <w:r w:rsidR="00D25E43" w:rsidRPr="00DC0382">
        <w:rPr>
          <w:rFonts w:eastAsiaTheme="minorEastAsia"/>
          <w:sz w:val="28"/>
          <w:szCs w:val="28"/>
          <w:lang w:val="en-US" w:eastAsia="zh-CN"/>
        </w:rPr>
        <w:t>)</w:t>
      </w:r>
      <w:r w:rsidRPr="00DC0382">
        <w:rPr>
          <w:rFonts w:eastAsiaTheme="minorEastAsia"/>
          <w:sz w:val="28"/>
          <w:szCs w:val="28"/>
          <w:lang w:val="en-US" w:eastAsia="zh-CN"/>
        </w:rPr>
        <w:t xml:space="preserve">. This protein is recognized </w:t>
      </w:r>
      <w:r w:rsidR="00D25E43" w:rsidRPr="00DC0382">
        <w:rPr>
          <w:rFonts w:eastAsiaTheme="minorEastAsia"/>
          <w:sz w:val="28"/>
          <w:szCs w:val="28"/>
          <w:lang w:val="en-US" w:eastAsia="zh-CN"/>
        </w:rPr>
        <w:t xml:space="preserve">to be </w:t>
      </w:r>
      <w:r w:rsidRPr="00DC0382">
        <w:rPr>
          <w:rFonts w:eastAsiaTheme="minorEastAsia"/>
          <w:sz w:val="28"/>
          <w:szCs w:val="28"/>
          <w:lang w:val="en-US" w:eastAsia="zh-CN"/>
        </w:rPr>
        <w:t xml:space="preserve">one of the main factors of </w:t>
      </w:r>
      <w:r w:rsidR="005C698F" w:rsidRPr="00DC0382">
        <w:rPr>
          <w:rFonts w:eastAsiaTheme="minorEastAsia"/>
          <w:sz w:val="28"/>
          <w:szCs w:val="28"/>
          <w:lang w:val="en-US" w:eastAsia="zh-CN"/>
        </w:rPr>
        <w:t>Hp</w:t>
      </w:r>
      <w:r w:rsidR="00D25E43" w:rsidRPr="00DC0382">
        <w:rPr>
          <w:rFonts w:eastAsiaTheme="minorEastAsia"/>
          <w:sz w:val="28"/>
          <w:szCs w:val="28"/>
          <w:lang w:val="en-US" w:eastAsia="zh-CN"/>
        </w:rPr>
        <w:t xml:space="preserve"> </w:t>
      </w:r>
      <w:proofErr w:type="spellStart"/>
      <w:r w:rsidRPr="00DC0382">
        <w:rPr>
          <w:rFonts w:eastAsiaTheme="minorEastAsia"/>
          <w:sz w:val="28"/>
          <w:szCs w:val="28"/>
          <w:lang w:val="en-US" w:eastAsia="zh-CN"/>
        </w:rPr>
        <w:t>pathogenicity</w:t>
      </w:r>
      <w:proofErr w:type="spellEnd"/>
      <w:r w:rsidRPr="00DC0382">
        <w:rPr>
          <w:rFonts w:eastAsiaTheme="minorEastAsia"/>
          <w:sz w:val="28"/>
          <w:szCs w:val="28"/>
          <w:lang w:val="en-US" w:eastAsia="zh-CN"/>
        </w:rPr>
        <w:t xml:space="preserve">. It </w:t>
      </w:r>
      <w:r w:rsidR="00D25E43" w:rsidRPr="00DC0382">
        <w:rPr>
          <w:rFonts w:eastAsiaTheme="minorEastAsia"/>
          <w:sz w:val="28"/>
          <w:szCs w:val="28"/>
          <w:lang w:val="en-US" w:eastAsia="zh-CN"/>
        </w:rPr>
        <w:t>damages</w:t>
      </w:r>
      <w:r w:rsidRPr="00DC0382">
        <w:rPr>
          <w:rFonts w:eastAsiaTheme="minorEastAsia"/>
          <w:sz w:val="28"/>
          <w:szCs w:val="28"/>
          <w:lang w:val="en-US" w:eastAsia="zh-CN"/>
        </w:rPr>
        <w:t xml:space="preserve"> the integrity of the epithelium of </w:t>
      </w:r>
      <w:r w:rsidR="00D25E43" w:rsidRPr="00DC0382">
        <w:rPr>
          <w:rFonts w:eastAsiaTheme="minorEastAsia"/>
          <w:sz w:val="28"/>
          <w:szCs w:val="28"/>
          <w:lang w:val="en-US" w:eastAsia="zh-CN"/>
        </w:rPr>
        <w:t>gastric mucosa</w:t>
      </w:r>
      <w:r w:rsidRPr="00DC0382">
        <w:rPr>
          <w:rFonts w:eastAsiaTheme="minorEastAsia"/>
          <w:sz w:val="28"/>
          <w:szCs w:val="28"/>
          <w:lang w:val="en-US" w:eastAsia="zh-CN"/>
        </w:rPr>
        <w:t xml:space="preserve">, </w:t>
      </w:r>
      <w:r w:rsidR="00D25E43" w:rsidRPr="00DC0382">
        <w:rPr>
          <w:rFonts w:eastAsiaTheme="minorEastAsia"/>
          <w:sz w:val="28"/>
          <w:szCs w:val="28"/>
          <w:lang w:val="en-US" w:eastAsia="zh-CN"/>
        </w:rPr>
        <w:t xml:space="preserve">causes </w:t>
      </w:r>
      <w:r w:rsidRPr="00DC0382">
        <w:rPr>
          <w:rFonts w:eastAsiaTheme="minorEastAsia"/>
          <w:sz w:val="28"/>
          <w:szCs w:val="28"/>
          <w:lang w:val="en-US" w:eastAsia="zh-CN"/>
        </w:rPr>
        <w:t>induction of uncontrolled proliferation o</w:t>
      </w:r>
      <w:r w:rsidR="00D25E43" w:rsidRPr="00DC0382">
        <w:rPr>
          <w:rFonts w:eastAsiaTheme="minorEastAsia"/>
          <w:sz w:val="28"/>
          <w:szCs w:val="28"/>
          <w:lang w:val="en-US" w:eastAsia="zh-CN"/>
        </w:rPr>
        <w:t>f epithelial and lymphoid cells</w:t>
      </w:r>
      <w:r w:rsidRPr="00DC0382">
        <w:rPr>
          <w:rFonts w:eastAsiaTheme="minorEastAsia"/>
          <w:sz w:val="28"/>
          <w:szCs w:val="28"/>
          <w:lang w:val="en-US" w:eastAsia="zh-CN"/>
        </w:rPr>
        <w:t xml:space="preserve">, </w:t>
      </w:r>
      <w:r w:rsidR="00D25E43" w:rsidRPr="00DC0382">
        <w:rPr>
          <w:rFonts w:eastAsiaTheme="minorEastAsia"/>
          <w:sz w:val="28"/>
          <w:szCs w:val="28"/>
          <w:lang w:val="en-US" w:eastAsia="zh-CN"/>
        </w:rPr>
        <w:t>secretion of the p</w:t>
      </w:r>
      <w:r w:rsidRPr="00DC0382">
        <w:rPr>
          <w:rFonts w:eastAsiaTheme="minorEastAsia"/>
          <w:sz w:val="28"/>
          <w:szCs w:val="28"/>
          <w:lang w:val="en-US" w:eastAsia="zh-CN"/>
        </w:rPr>
        <w:t>ro</w:t>
      </w:r>
      <w:r w:rsidR="00D25E43" w:rsidRPr="00DC0382">
        <w:rPr>
          <w:rFonts w:eastAsiaTheme="minorEastAsia"/>
          <w:sz w:val="28"/>
          <w:szCs w:val="28"/>
          <w:lang w:val="en-US" w:eastAsia="zh-CN"/>
        </w:rPr>
        <w:t>-</w:t>
      </w:r>
      <w:r w:rsidRPr="00DC0382">
        <w:rPr>
          <w:rFonts w:eastAsiaTheme="minorEastAsia"/>
          <w:sz w:val="28"/>
          <w:szCs w:val="28"/>
          <w:lang w:val="en-US" w:eastAsia="zh-CN"/>
        </w:rPr>
        <w:t xml:space="preserve">inflammatory cytokines and inflammatory reaction in the </w:t>
      </w:r>
      <w:r w:rsidR="001D60EC" w:rsidRPr="00DC0382">
        <w:rPr>
          <w:rFonts w:eastAsiaTheme="minorEastAsia"/>
          <w:sz w:val="28"/>
          <w:szCs w:val="28"/>
          <w:lang w:val="en-US" w:eastAsia="zh-CN"/>
        </w:rPr>
        <w:t>gastric mucosa</w:t>
      </w:r>
      <w:r w:rsidRPr="00DC0382">
        <w:rPr>
          <w:rFonts w:eastAsiaTheme="minorEastAsia"/>
          <w:sz w:val="28"/>
          <w:szCs w:val="28"/>
          <w:lang w:val="en-US" w:eastAsia="zh-CN"/>
        </w:rPr>
        <w:t xml:space="preserve">. </w:t>
      </w:r>
      <w:r w:rsidR="001D60EC" w:rsidRPr="00DC0382">
        <w:rPr>
          <w:rFonts w:eastAsiaTheme="minorEastAsia"/>
          <w:sz w:val="28"/>
          <w:szCs w:val="28"/>
          <w:lang w:val="en-US" w:eastAsia="zh-CN"/>
        </w:rPr>
        <w:t>None of</w:t>
      </w:r>
      <w:r w:rsidRPr="00DC0382">
        <w:rPr>
          <w:rFonts w:eastAsiaTheme="minorEastAsia"/>
          <w:sz w:val="28"/>
          <w:szCs w:val="28"/>
          <w:lang w:val="en-US" w:eastAsia="zh-CN"/>
        </w:rPr>
        <w:t xml:space="preserve"> bacteria </w:t>
      </w:r>
      <w:r w:rsidR="001D60EC" w:rsidRPr="00DC0382">
        <w:rPr>
          <w:rFonts w:eastAsiaTheme="minorEastAsia"/>
          <w:sz w:val="28"/>
          <w:szCs w:val="28"/>
          <w:lang w:val="en-US" w:eastAsia="zh-CN"/>
        </w:rPr>
        <w:t>isn’</w:t>
      </w:r>
      <w:r w:rsidRPr="00DC0382">
        <w:rPr>
          <w:rFonts w:eastAsiaTheme="minorEastAsia"/>
          <w:sz w:val="28"/>
          <w:szCs w:val="28"/>
          <w:lang w:val="en-US" w:eastAsia="zh-CN"/>
        </w:rPr>
        <w:t xml:space="preserve">t detected </w:t>
      </w:r>
      <w:r w:rsidR="001D60EC" w:rsidRPr="00DC0382">
        <w:rPr>
          <w:rFonts w:eastAsiaTheme="minorEastAsia"/>
          <w:sz w:val="28"/>
          <w:szCs w:val="28"/>
          <w:lang w:val="en-US" w:eastAsia="zh-CN"/>
        </w:rPr>
        <w:t xml:space="preserve">to have </w:t>
      </w:r>
      <w:r w:rsidR="005E422D" w:rsidRPr="00DC0382">
        <w:rPr>
          <w:rFonts w:eastAsiaTheme="minorEastAsia"/>
          <w:sz w:val="28"/>
          <w:szCs w:val="28"/>
          <w:lang w:val="en-US" w:eastAsia="zh-CN"/>
        </w:rPr>
        <w:t xml:space="preserve">a </w:t>
      </w:r>
      <w:r w:rsidRPr="00DC0382">
        <w:rPr>
          <w:rFonts w:eastAsiaTheme="minorEastAsia"/>
          <w:sz w:val="28"/>
          <w:szCs w:val="28"/>
          <w:lang w:val="en-US" w:eastAsia="zh-CN"/>
        </w:rPr>
        <w:t xml:space="preserve">homolog </w:t>
      </w:r>
      <w:r w:rsidR="001D60EC" w:rsidRPr="00DC0382">
        <w:rPr>
          <w:rFonts w:eastAsiaTheme="minorEastAsia"/>
          <w:sz w:val="28"/>
          <w:szCs w:val="28"/>
          <w:lang w:val="en-US" w:eastAsia="zh-CN"/>
        </w:rPr>
        <w:t xml:space="preserve">of </w:t>
      </w:r>
      <w:proofErr w:type="spellStart"/>
      <w:r w:rsidR="001D60EC" w:rsidRPr="00DC0382">
        <w:rPr>
          <w:rFonts w:eastAsiaTheme="minorEastAsia"/>
          <w:sz w:val="28"/>
          <w:szCs w:val="28"/>
          <w:lang w:val="en-US" w:eastAsia="zh-CN"/>
        </w:rPr>
        <w:t>cagA</w:t>
      </w:r>
      <w:proofErr w:type="spellEnd"/>
      <w:r w:rsidR="001D60EC" w:rsidRPr="00DC0382">
        <w:rPr>
          <w:rFonts w:eastAsiaTheme="minorEastAsia"/>
          <w:sz w:val="28"/>
          <w:szCs w:val="28"/>
          <w:lang w:val="en-US" w:eastAsia="zh-CN"/>
        </w:rPr>
        <w:t xml:space="preserve"> </w:t>
      </w:r>
      <w:proofErr w:type="gramStart"/>
      <w:r w:rsidRPr="00DC0382">
        <w:rPr>
          <w:rFonts w:eastAsiaTheme="minorEastAsia"/>
          <w:sz w:val="28"/>
          <w:szCs w:val="28"/>
          <w:lang w:val="en-US" w:eastAsia="zh-CN"/>
        </w:rPr>
        <w:t>gene,</w:t>
      </w:r>
      <w:proofErr w:type="gramEnd"/>
      <w:r w:rsidRPr="00DC0382">
        <w:rPr>
          <w:rFonts w:eastAsiaTheme="minorEastAsia"/>
          <w:sz w:val="28"/>
          <w:szCs w:val="28"/>
          <w:lang w:val="en-US" w:eastAsia="zh-CN"/>
        </w:rPr>
        <w:t xml:space="preserve"> therefore</w:t>
      </w:r>
      <w:r w:rsidR="005E422D" w:rsidRPr="00DC0382">
        <w:rPr>
          <w:rFonts w:eastAsiaTheme="minorEastAsia"/>
          <w:sz w:val="28"/>
          <w:szCs w:val="28"/>
          <w:lang w:val="en-US" w:eastAsia="zh-CN"/>
        </w:rPr>
        <w:t>,</w:t>
      </w:r>
      <w:r w:rsidRPr="00DC0382">
        <w:rPr>
          <w:rFonts w:eastAsiaTheme="minorEastAsia"/>
          <w:sz w:val="28"/>
          <w:szCs w:val="28"/>
          <w:lang w:val="en-US" w:eastAsia="zh-CN"/>
        </w:rPr>
        <w:t xml:space="preserve"> </w:t>
      </w:r>
      <w:proofErr w:type="spellStart"/>
      <w:r w:rsidR="001D60EC" w:rsidRPr="00DC0382">
        <w:rPr>
          <w:rFonts w:eastAsiaTheme="minorEastAsia"/>
          <w:sz w:val="28"/>
          <w:szCs w:val="28"/>
          <w:lang w:val="en-US" w:eastAsia="zh-CN"/>
        </w:rPr>
        <w:t>cagA</w:t>
      </w:r>
      <w:proofErr w:type="spellEnd"/>
      <w:r w:rsidR="001D60EC" w:rsidRPr="00DC0382">
        <w:rPr>
          <w:rFonts w:eastAsiaTheme="minorEastAsia"/>
          <w:sz w:val="28"/>
          <w:szCs w:val="28"/>
          <w:lang w:val="en-US" w:eastAsia="zh-CN"/>
        </w:rPr>
        <w:t xml:space="preserve"> gene</w:t>
      </w:r>
      <w:r w:rsidRPr="00DC0382">
        <w:rPr>
          <w:rFonts w:eastAsiaTheme="minorEastAsia"/>
          <w:sz w:val="28"/>
          <w:szCs w:val="28"/>
          <w:lang w:val="en-US" w:eastAsia="zh-CN"/>
        </w:rPr>
        <w:t xml:space="preserve"> </w:t>
      </w:r>
      <w:r w:rsidR="001D60EC" w:rsidRPr="00DC0382">
        <w:rPr>
          <w:rFonts w:eastAsiaTheme="minorEastAsia"/>
          <w:sz w:val="28"/>
          <w:szCs w:val="28"/>
          <w:lang w:val="en-US" w:eastAsia="zh-CN"/>
        </w:rPr>
        <w:t xml:space="preserve">is believed to be a </w:t>
      </w:r>
      <w:r w:rsidRPr="00DC0382">
        <w:rPr>
          <w:rFonts w:eastAsiaTheme="minorEastAsia"/>
          <w:sz w:val="28"/>
          <w:szCs w:val="28"/>
          <w:lang w:val="en-US" w:eastAsia="zh-CN"/>
        </w:rPr>
        <w:t xml:space="preserve">specific </w:t>
      </w:r>
      <w:r w:rsidR="005E422D" w:rsidRPr="00DC0382">
        <w:rPr>
          <w:rFonts w:eastAsiaTheme="minorEastAsia"/>
          <w:sz w:val="28"/>
          <w:szCs w:val="28"/>
          <w:lang w:val="en-US" w:eastAsia="zh-CN"/>
        </w:rPr>
        <w:t>one</w:t>
      </w:r>
      <w:r w:rsidR="001D60EC" w:rsidRPr="00DC0382">
        <w:rPr>
          <w:rFonts w:eastAsiaTheme="minorEastAsia"/>
          <w:sz w:val="28"/>
          <w:szCs w:val="28"/>
          <w:lang w:val="en-US" w:eastAsia="zh-CN"/>
        </w:rPr>
        <w:t>,</w:t>
      </w:r>
      <w:r w:rsidRPr="00DC0382">
        <w:rPr>
          <w:rFonts w:eastAsiaTheme="minorEastAsia"/>
          <w:sz w:val="28"/>
          <w:szCs w:val="28"/>
          <w:lang w:val="en-US" w:eastAsia="zh-CN"/>
        </w:rPr>
        <w:t xml:space="preserve"> arising in connection with </w:t>
      </w:r>
      <w:r w:rsidR="005C698F" w:rsidRPr="00DC0382">
        <w:rPr>
          <w:rFonts w:eastAsiaTheme="minorEastAsia"/>
          <w:sz w:val="28"/>
          <w:szCs w:val="28"/>
          <w:lang w:val="en-US" w:eastAsia="zh-CN"/>
        </w:rPr>
        <w:t>Hp</w:t>
      </w:r>
      <w:r w:rsidR="001D60EC" w:rsidRPr="00DC0382">
        <w:rPr>
          <w:rFonts w:eastAsiaTheme="minorEastAsia"/>
          <w:sz w:val="28"/>
          <w:szCs w:val="28"/>
          <w:lang w:val="en-US" w:eastAsia="zh-CN"/>
        </w:rPr>
        <w:t xml:space="preserve"> </w:t>
      </w:r>
      <w:r w:rsidR="005E422D" w:rsidRPr="00DC0382">
        <w:rPr>
          <w:rFonts w:eastAsiaTheme="minorEastAsia"/>
          <w:sz w:val="28"/>
          <w:szCs w:val="28"/>
          <w:lang w:val="en-US" w:eastAsia="zh-CN"/>
        </w:rPr>
        <w:t>habitation</w:t>
      </w:r>
      <w:r w:rsidRPr="00DC0382">
        <w:rPr>
          <w:rFonts w:eastAsiaTheme="minorEastAsia"/>
          <w:sz w:val="28"/>
          <w:szCs w:val="28"/>
          <w:lang w:val="en-US" w:eastAsia="zh-CN"/>
        </w:rPr>
        <w:t xml:space="preserve"> in the human stomac</w:t>
      </w:r>
      <w:r w:rsidR="001D60EC" w:rsidRPr="00DC0382">
        <w:rPr>
          <w:rFonts w:eastAsiaTheme="minorEastAsia"/>
          <w:sz w:val="28"/>
          <w:szCs w:val="28"/>
          <w:lang w:val="en-US" w:eastAsia="zh-CN"/>
        </w:rPr>
        <w:t>h [</w:t>
      </w:r>
      <w:fldSimple w:instr=" REF _Ref381462516 \r \h  \* MERGEFORMAT ">
        <w:r w:rsidR="006D379E" w:rsidRPr="00DC0382">
          <w:rPr>
            <w:rFonts w:eastAsiaTheme="minorEastAsia"/>
            <w:sz w:val="28"/>
            <w:szCs w:val="28"/>
            <w:lang w:val="en-US" w:eastAsia="zh-CN"/>
          </w:rPr>
          <w:t>7</w:t>
        </w:r>
      </w:fldSimple>
      <w:r w:rsidR="001D60EC" w:rsidRPr="00DC0382">
        <w:rPr>
          <w:rFonts w:eastAsiaTheme="minorEastAsia"/>
          <w:sz w:val="28"/>
          <w:szCs w:val="28"/>
          <w:lang w:val="en-US" w:eastAsia="zh-CN"/>
        </w:rPr>
        <w:t xml:space="preserve">, </w:t>
      </w:r>
      <w:fldSimple w:instr=" REF _Ref381462345 \r \h  \* MERGEFORMAT ">
        <w:r w:rsidR="006D379E" w:rsidRPr="00DC0382">
          <w:rPr>
            <w:rFonts w:eastAsiaTheme="minorEastAsia"/>
            <w:sz w:val="28"/>
            <w:szCs w:val="28"/>
            <w:lang w:val="en-US" w:eastAsia="zh-CN"/>
          </w:rPr>
          <w:t>10</w:t>
        </w:r>
      </w:fldSimple>
      <w:r w:rsidRPr="00DC0382">
        <w:rPr>
          <w:rFonts w:eastAsiaTheme="minorEastAsia"/>
          <w:sz w:val="28"/>
          <w:szCs w:val="28"/>
          <w:lang w:val="en-US" w:eastAsia="zh-CN"/>
        </w:rPr>
        <w:t xml:space="preserve">, </w:t>
      </w:r>
      <w:fldSimple w:instr=" REF _Ref381462443 \r \h  \* MERGEFORMAT ">
        <w:r w:rsidR="006D379E" w:rsidRPr="00DC0382">
          <w:rPr>
            <w:rFonts w:eastAsiaTheme="minorEastAsia"/>
            <w:sz w:val="28"/>
            <w:szCs w:val="28"/>
            <w:lang w:val="en-US" w:eastAsia="zh-CN"/>
          </w:rPr>
          <w:t>15</w:t>
        </w:r>
      </w:fldSimple>
      <w:r w:rsidRPr="00DC0382">
        <w:rPr>
          <w:rFonts w:eastAsiaTheme="minorEastAsia"/>
          <w:sz w:val="28"/>
          <w:szCs w:val="28"/>
          <w:lang w:val="en-US" w:eastAsia="zh-CN"/>
        </w:rPr>
        <w:t>].</w:t>
      </w:r>
    </w:p>
    <w:p w:rsidR="0043708D" w:rsidRPr="00DC0382" w:rsidRDefault="00A47EDF" w:rsidP="00BC7970">
      <w:pPr>
        <w:spacing w:after="0" w:line="360" w:lineRule="auto"/>
        <w:ind w:firstLine="709"/>
        <w:jc w:val="both"/>
        <w:rPr>
          <w:rFonts w:eastAsiaTheme="minorEastAsia"/>
          <w:sz w:val="28"/>
          <w:szCs w:val="28"/>
          <w:lang w:val="en-US" w:eastAsia="zh-CN"/>
        </w:rPr>
      </w:pPr>
      <w:r w:rsidRPr="00DC0382">
        <w:rPr>
          <w:rFonts w:eastAsiaTheme="minorEastAsia"/>
          <w:sz w:val="28"/>
          <w:szCs w:val="28"/>
          <w:lang w:val="en-US" w:eastAsia="zh-CN"/>
        </w:rPr>
        <w:t xml:space="preserve">Examination of </w:t>
      </w:r>
      <w:proofErr w:type="spellStart"/>
      <w:r w:rsidR="00472F83" w:rsidRPr="00DC0382">
        <w:rPr>
          <w:rFonts w:eastAsiaTheme="minorEastAsia"/>
          <w:sz w:val="28"/>
          <w:szCs w:val="28"/>
          <w:lang w:val="en-US" w:eastAsia="zh-CN"/>
        </w:rPr>
        <w:t>microbiocenosis</w:t>
      </w:r>
      <w:proofErr w:type="spellEnd"/>
      <w:r w:rsidR="00472F83" w:rsidRPr="00DC0382">
        <w:rPr>
          <w:rFonts w:eastAsiaTheme="minorEastAsia"/>
          <w:sz w:val="28"/>
          <w:szCs w:val="28"/>
          <w:lang w:val="en-US" w:eastAsia="zh-CN"/>
        </w:rPr>
        <w:t xml:space="preserve"> </w:t>
      </w:r>
      <w:r w:rsidRPr="00DC0382">
        <w:rPr>
          <w:rFonts w:eastAsiaTheme="minorEastAsia"/>
          <w:sz w:val="28"/>
          <w:szCs w:val="28"/>
          <w:lang w:val="en-US" w:eastAsia="zh-CN"/>
        </w:rPr>
        <w:t xml:space="preserve">state of various </w:t>
      </w:r>
      <w:r w:rsidR="004608B4" w:rsidRPr="00DC0382">
        <w:rPr>
          <w:rFonts w:eastAsiaTheme="minorEastAsia"/>
          <w:sz w:val="28"/>
          <w:szCs w:val="28"/>
          <w:lang w:val="en-US" w:eastAsia="zh-CN"/>
        </w:rPr>
        <w:t>parts</w:t>
      </w:r>
      <w:r w:rsidRPr="00DC0382">
        <w:rPr>
          <w:rFonts w:eastAsiaTheme="minorEastAsia"/>
          <w:sz w:val="28"/>
          <w:szCs w:val="28"/>
          <w:lang w:val="en-US" w:eastAsia="zh-CN"/>
        </w:rPr>
        <w:t xml:space="preserve"> of the digestive tube in children with persisting </w:t>
      </w:r>
      <w:r w:rsidR="005C698F" w:rsidRPr="00DC0382">
        <w:rPr>
          <w:rFonts w:eastAsiaTheme="minorEastAsia"/>
          <w:sz w:val="28"/>
          <w:szCs w:val="28"/>
          <w:lang w:val="en-US" w:eastAsia="zh-CN"/>
        </w:rPr>
        <w:t>Hp</w:t>
      </w:r>
      <w:r w:rsidRPr="00DC0382">
        <w:rPr>
          <w:rFonts w:eastAsiaTheme="minorEastAsia"/>
          <w:sz w:val="28"/>
          <w:szCs w:val="28"/>
          <w:lang w:val="en-US" w:eastAsia="zh-CN"/>
        </w:rPr>
        <w:t xml:space="preserve"> seems to be a</w:t>
      </w:r>
      <w:r w:rsidR="0043708D" w:rsidRPr="00DC0382">
        <w:rPr>
          <w:rFonts w:eastAsiaTheme="minorEastAsia"/>
          <w:sz w:val="28"/>
          <w:szCs w:val="28"/>
          <w:lang w:val="en-US" w:eastAsia="zh-CN"/>
        </w:rPr>
        <w:t xml:space="preserve">nother promising issue in understanding the development and demonstration of </w:t>
      </w:r>
      <w:r w:rsidRPr="00DC0382">
        <w:rPr>
          <w:rFonts w:eastAsiaTheme="minorEastAsia"/>
          <w:sz w:val="28"/>
          <w:szCs w:val="28"/>
          <w:lang w:val="en-US" w:eastAsia="zh-CN"/>
        </w:rPr>
        <w:t xml:space="preserve">CGDP </w:t>
      </w:r>
      <w:r w:rsidR="00472F83" w:rsidRPr="00DC0382">
        <w:rPr>
          <w:rFonts w:eastAsiaTheme="minorEastAsia"/>
          <w:sz w:val="28"/>
          <w:szCs w:val="28"/>
          <w:lang w:val="en-US" w:eastAsia="zh-CN"/>
        </w:rPr>
        <w:t xml:space="preserve">clinical manifestations </w:t>
      </w:r>
      <w:r w:rsidR="0043708D" w:rsidRPr="00DC0382">
        <w:rPr>
          <w:rFonts w:eastAsiaTheme="minorEastAsia"/>
          <w:sz w:val="28"/>
          <w:szCs w:val="28"/>
          <w:lang w:val="en-US" w:eastAsia="zh-CN"/>
        </w:rPr>
        <w:t>[</w:t>
      </w:r>
      <w:fldSimple w:instr=" REF _Ref381462538 \r \h  \* MERGEFORMAT ">
        <w:r w:rsidR="006D379E" w:rsidRPr="00DC0382">
          <w:rPr>
            <w:rFonts w:eastAsiaTheme="minorEastAsia"/>
            <w:sz w:val="28"/>
            <w:szCs w:val="28"/>
            <w:lang w:val="en-US" w:eastAsia="zh-CN"/>
          </w:rPr>
          <w:t>6</w:t>
        </w:r>
      </w:fldSimple>
      <w:r w:rsidR="0043708D" w:rsidRPr="00DC0382">
        <w:rPr>
          <w:rFonts w:eastAsiaTheme="minorEastAsia"/>
          <w:sz w:val="28"/>
          <w:szCs w:val="28"/>
          <w:lang w:val="en-US" w:eastAsia="zh-CN"/>
        </w:rPr>
        <w:t>]. Long-term existence</w:t>
      </w:r>
      <w:r w:rsidR="004608B4" w:rsidRPr="00DC0382">
        <w:rPr>
          <w:rFonts w:eastAsiaTheme="minorEastAsia"/>
          <w:sz w:val="28"/>
          <w:szCs w:val="28"/>
          <w:lang w:val="en-US" w:eastAsia="zh-CN"/>
        </w:rPr>
        <w:t xml:space="preserve"> of </w:t>
      </w:r>
      <w:r w:rsidR="005C698F" w:rsidRPr="00DC0382">
        <w:rPr>
          <w:rFonts w:eastAsiaTheme="minorEastAsia"/>
          <w:sz w:val="28"/>
          <w:szCs w:val="28"/>
          <w:lang w:val="en-US" w:eastAsia="zh-CN"/>
        </w:rPr>
        <w:t>Hp</w:t>
      </w:r>
      <w:r w:rsidR="004608B4" w:rsidRPr="00DC0382">
        <w:rPr>
          <w:rFonts w:eastAsiaTheme="minorEastAsia"/>
          <w:sz w:val="28"/>
          <w:szCs w:val="28"/>
          <w:lang w:val="en-US" w:eastAsia="zh-CN"/>
        </w:rPr>
        <w:t xml:space="preserve"> infection in the patient’s organism</w:t>
      </w:r>
      <w:r w:rsidR="0043708D" w:rsidRPr="00DC0382">
        <w:rPr>
          <w:rFonts w:eastAsiaTheme="minorEastAsia"/>
          <w:sz w:val="28"/>
          <w:szCs w:val="28"/>
          <w:lang w:val="en-US" w:eastAsia="zh-CN"/>
        </w:rPr>
        <w:t xml:space="preserve">, use of antibacterial drugs </w:t>
      </w:r>
      <w:r w:rsidR="004608B4" w:rsidRPr="00DC0382">
        <w:rPr>
          <w:rFonts w:eastAsiaTheme="minorEastAsia"/>
          <w:sz w:val="28"/>
          <w:szCs w:val="28"/>
          <w:lang w:val="en-US" w:eastAsia="zh-CN"/>
        </w:rPr>
        <w:t>upon</w:t>
      </w:r>
      <w:r w:rsidR="0043708D" w:rsidRPr="00DC0382">
        <w:rPr>
          <w:rFonts w:eastAsiaTheme="minorEastAsia"/>
          <w:sz w:val="28"/>
          <w:szCs w:val="28"/>
          <w:lang w:val="en-US" w:eastAsia="zh-CN"/>
        </w:rPr>
        <w:t xml:space="preserve"> the eradication of the bacterium can lead to </w:t>
      </w:r>
      <w:r w:rsidR="004608B4" w:rsidRPr="00DC0382">
        <w:rPr>
          <w:rFonts w:eastAsiaTheme="minorEastAsia"/>
          <w:sz w:val="28"/>
          <w:szCs w:val="28"/>
          <w:lang w:val="en-US" w:eastAsia="zh-CN"/>
        </w:rPr>
        <w:t xml:space="preserve">a </w:t>
      </w:r>
      <w:proofErr w:type="spellStart"/>
      <w:r w:rsidR="0043708D" w:rsidRPr="00DC0382">
        <w:rPr>
          <w:rFonts w:eastAsiaTheme="minorEastAsia"/>
          <w:sz w:val="28"/>
          <w:szCs w:val="28"/>
          <w:lang w:val="en-US" w:eastAsia="zh-CN"/>
        </w:rPr>
        <w:t>dysbiosis</w:t>
      </w:r>
      <w:proofErr w:type="spellEnd"/>
      <w:r w:rsidR="0043708D" w:rsidRPr="00DC0382">
        <w:rPr>
          <w:rFonts w:eastAsiaTheme="minorEastAsia"/>
          <w:sz w:val="28"/>
          <w:szCs w:val="28"/>
          <w:lang w:val="en-US" w:eastAsia="zh-CN"/>
        </w:rPr>
        <w:t xml:space="preserve"> </w:t>
      </w:r>
      <w:r w:rsidR="004608B4" w:rsidRPr="00DC0382">
        <w:rPr>
          <w:rFonts w:eastAsiaTheme="minorEastAsia"/>
          <w:sz w:val="28"/>
          <w:szCs w:val="28"/>
          <w:lang w:val="en-US" w:eastAsia="zh-CN"/>
        </w:rPr>
        <w:t xml:space="preserve">of </w:t>
      </w:r>
      <w:r w:rsidR="0043708D" w:rsidRPr="00DC0382">
        <w:rPr>
          <w:rFonts w:eastAsiaTheme="minorEastAsia"/>
          <w:sz w:val="28"/>
          <w:szCs w:val="28"/>
          <w:lang w:val="en-US" w:eastAsia="zh-CN"/>
        </w:rPr>
        <w:t xml:space="preserve">various </w:t>
      </w:r>
      <w:r w:rsidR="004608B4" w:rsidRPr="00DC0382">
        <w:rPr>
          <w:rFonts w:eastAsiaTheme="minorEastAsia"/>
          <w:sz w:val="28"/>
          <w:szCs w:val="28"/>
          <w:lang w:val="en-US" w:eastAsia="zh-CN"/>
        </w:rPr>
        <w:t xml:space="preserve">parts of the </w:t>
      </w:r>
      <w:r w:rsidR="0043708D" w:rsidRPr="00DC0382">
        <w:rPr>
          <w:rFonts w:eastAsiaTheme="minorEastAsia"/>
          <w:sz w:val="28"/>
          <w:szCs w:val="28"/>
          <w:lang w:val="en-US" w:eastAsia="zh-CN"/>
        </w:rPr>
        <w:t xml:space="preserve">digestive tract with inhibition of </w:t>
      </w:r>
      <w:proofErr w:type="spellStart"/>
      <w:r w:rsidR="004608B4" w:rsidRPr="00DC0382">
        <w:rPr>
          <w:rFonts w:eastAsiaTheme="minorEastAsia"/>
          <w:sz w:val="28"/>
          <w:szCs w:val="28"/>
          <w:lang w:val="en-US" w:eastAsia="zh-CN"/>
        </w:rPr>
        <w:t>bifidus</w:t>
      </w:r>
      <w:proofErr w:type="spellEnd"/>
      <w:r w:rsidR="004608B4" w:rsidRPr="00DC0382">
        <w:rPr>
          <w:rFonts w:eastAsiaTheme="minorEastAsia"/>
          <w:sz w:val="28"/>
          <w:szCs w:val="28"/>
          <w:lang w:val="en-US" w:eastAsia="zh-CN"/>
        </w:rPr>
        <w:t xml:space="preserve"> bacteria and lactobacilli</w:t>
      </w:r>
      <w:r w:rsidR="0043708D" w:rsidRPr="00DC0382">
        <w:rPr>
          <w:rFonts w:eastAsiaTheme="minorEastAsia"/>
          <w:sz w:val="28"/>
          <w:szCs w:val="28"/>
          <w:lang w:val="en-US" w:eastAsia="zh-CN"/>
        </w:rPr>
        <w:t xml:space="preserve">, E. coli and </w:t>
      </w:r>
      <w:r w:rsidR="0043708D" w:rsidRPr="00DC0382">
        <w:rPr>
          <w:rFonts w:eastAsiaTheme="minorEastAsia"/>
          <w:sz w:val="28"/>
          <w:szCs w:val="28"/>
          <w:lang w:val="en-US" w:eastAsia="zh-CN"/>
        </w:rPr>
        <w:lastRenderedPageBreak/>
        <w:t xml:space="preserve">progressive growth of pathogenic flora. Disruption of the normal intestinal </w:t>
      </w:r>
      <w:proofErr w:type="spellStart"/>
      <w:r w:rsidR="0043708D" w:rsidRPr="00DC0382">
        <w:rPr>
          <w:rFonts w:eastAsiaTheme="minorEastAsia"/>
          <w:sz w:val="28"/>
          <w:szCs w:val="28"/>
          <w:lang w:val="en-US" w:eastAsia="zh-CN"/>
        </w:rPr>
        <w:t>microflora</w:t>
      </w:r>
      <w:proofErr w:type="spellEnd"/>
      <w:r w:rsidR="0043708D" w:rsidRPr="00DC0382">
        <w:rPr>
          <w:rFonts w:eastAsiaTheme="minorEastAsia"/>
          <w:sz w:val="28"/>
          <w:szCs w:val="28"/>
          <w:lang w:val="en-US" w:eastAsia="zh-CN"/>
        </w:rPr>
        <w:t xml:space="preserve"> </w:t>
      </w:r>
      <w:r w:rsidR="005C698F" w:rsidRPr="00DC0382">
        <w:rPr>
          <w:rFonts w:eastAsiaTheme="minorEastAsia"/>
          <w:sz w:val="28"/>
          <w:szCs w:val="28"/>
          <w:lang w:val="en-US" w:eastAsia="zh-CN"/>
        </w:rPr>
        <w:t>correlation</w:t>
      </w:r>
      <w:r w:rsidR="0043708D" w:rsidRPr="00DC0382">
        <w:rPr>
          <w:rFonts w:eastAsiaTheme="minorEastAsia"/>
          <w:sz w:val="28"/>
          <w:szCs w:val="28"/>
          <w:lang w:val="en-US" w:eastAsia="zh-CN"/>
        </w:rPr>
        <w:t xml:space="preserve"> in </w:t>
      </w:r>
      <w:r w:rsidR="005C698F" w:rsidRPr="00DC0382">
        <w:rPr>
          <w:rFonts w:eastAsiaTheme="minorEastAsia"/>
          <w:sz w:val="28"/>
          <w:szCs w:val="28"/>
          <w:lang w:val="en-US" w:eastAsia="zh-CN"/>
        </w:rPr>
        <w:t>different</w:t>
      </w:r>
      <w:r w:rsidR="0043708D" w:rsidRPr="00DC0382">
        <w:rPr>
          <w:rFonts w:eastAsiaTheme="minorEastAsia"/>
          <w:sz w:val="28"/>
          <w:szCs w:val="28"/>
          <w:lang w:val="en-US" w:eastAsia="zh-CN"/>
        </w:rPr>
        <w:t xml:space="preserve"> </w:t>
      </w:r>
      <w:r w:rsidR="005C698F" w:rsidRPr="00DC0382">
        <w:rPr>
          <w:rFonts w:eastAsiaTheme="minorEastAsia"/>
          <w:sz w:val="28"/>
          <w:szCs w:val="28"/>
          <w:lang w:val="en-US" w:eastAsia="zh-CN"/>
        </w:rPr>
        <w:t xml:space="preserve">biotopes </w:t>
      </w:r>
      <w:r w:rsidR="0043708D" w:rsidRPr="00DC0382">
        <w:rPr>
          <w:rFonts w:eastAsiaTheme="minorEastAsia"/>
          <w:sz w:val="28"/>
          <w:szCs w:val="28"/>
          <w:lang w:val="en-US" w:eastAsia="zh-CN"/>
        </w:rPr>
        <w:t xml:space="preserve">of the digestive tube </w:t>
      </w:r>
      <w:r w:rsidR="005C698F" w:rsidRPr="00DC0382">
        <w:rPr>
          <w:rFonts w:eastAsiaTheme="minorEastAsia"/>
          <w:sz w:val="28"/>
          <w:szCs w:val="28"/>
          <w:lang w:val="en-US" w:eastAsia="zh-CN"/>
        </w:rPr>
        <w:t>is stipulated by</w:t>
      </w:r>
      <w:r w:rsidR="0043708D" w:rsidRPr="00DC0382">
        <w:rPr>
          <w:rFonts w:eastAsiaTheme="minorEastAsia"/>
          <w:sz w:val="28"/>
          <w:szCs w:val="28"/>
          <w:lang w:val="en-US" w:eastAsia="zh-CN"/>
        </w:rPr>
        <w:t xml:space="preserve"> the decreas</w:t>
      </w:r>
      <w:r w:rsidR="005C698F" w:rsidRPr="00DC0382">
        <w:rPr>
          <w:rFonts w:eastAsiaTheme="minorEastAsia"/>
          <w:sz w:val="28"/>
          <w:szCs w:val="28"/>
          <w:lang w:val="en-US" w:eastAsia="zh-CN"/>
        </w:rPr>
        <w:t xml:space="preserve">ing </w:t>
      </w:r>
      <w:r w:rsidR="0043708D" w:rsidRPr="00DC0382">
        <w:rPr>
          <w:rFonts w:eastAsiaTheme="minorEastAsia"/>
          <w:sz w:val="28"/>
          <w:szCs w:val="28"/>
          <w:lang w:val="en-US" w:eastAsia="zh-CN"/>
        </w:rPr>
        <w:t xml:space="preserve">local and systemic immune factors and the </w:t>
      </w:r>
      <w:r w:rsidR="005C698F" w:rsidRPr="00DC0382">
        <w:rPr>
          <w:rFonts w:eastAsiaTheme="minorEastAsia"/>
          <w:sz w:val="28"/>
          <w:szCs w:val="28"/>
          <w:lang w:val="en-US" w:eastAsia="zh-CN"/>
        </w:rPr>
        <w:t>organism’s natural resistance</w:t>
      </w:r>
      <w:r w:rsidR="0043708D" w:rsidRPr="00DC0382">
        <w:rPr>
          <w:rFonts w:eastAsiaTheme="minorEastAsia"/>
          <w:sz w:val="28"/>
          <w:szCs w:val="28"/>
          <w:lang w:val="en-US" w:eastAsia="zh-CN"/>
        </w:rPr>
        <w:t xml:space="preserve">. </w:t>
      </w:r>
      <w:proofErr w:type="spellStart"/>
      <w:r w:rsidR="005C698F" w:rsidRPr="00DC0382">
        <w:rPr>
          <w:rFonts w:eastAsiaTheme="minorEastAsia"/>
          <w:sz w:val="28"/>
          <w:szCs w:val="28"/>
          <w:lang w:val="en-US" w:eastAsia="zh-CN"/>
        </w:rPr>
        <w:t>Dysbiotic</w:t>
      </w:r>
      <w:proofErr w:type="spellEnd"/>
      <w:r w:rsidR="005C698F" w:rsidRPr="00DC0382">
        <w:rPr>
          <w:rFonts w:eastAsiaTheme="minorEastAsia"/>
          <w:sz w:val="28"/>
          <w:szCs w:val="28"/>
          <w:lang w:val="en-US" w:eastAsia="zh-CN"/>
        </w:rPr>
        <w:t xml:space="preserve"> changes in the intestinal </w:t>
      </w:r>
      <w:proofErr w:type="spellStart"/>
      <w:r w:rsidR="005C698F" w:rsidRPr="00DC0382">
        <w:rPr>
          <w:rFonts w:eastAsiaTheme="minorEastAsia"/>
          <w:sz w:val="28"/>
          <w:szCs w:val="28"/>
          <w:lang w:val="en-US" w:eastAsia="zh-CN"/>
        </w:rPr>
        <w:t>microflora</w:t>
      </w:r>
      <w:proofErr w:type="spellEnd"/>
      <w:r w:rsidR="005C698F" w:rsidRPr="00DC0382">
        <w:rPr>
          <w:rFonts w:eastAsiaTheme="minorEastAsia"/>
          <w:sz w:val="28"/>
          <w:szCs w:val="28"/>
          <w:lang w:val="en-US" w:eastAsia="zh-CN"/>
        </w:rPr>
        <w:t xml:space="preserve"> </w:t>
      </w:r>
      <w:r w:rsidR="0043708D" w:rsidRPr="00DC0382">
        <w:rPr>
          <w:rFonts w:eastAsiaTheme="minorEastAsia"/>
          <w:sz w:val="28"/>
          <w:szCs w:val="28"/>
          <w:lang w:val="en-US" w:eastAsia="zh-CN"/>
        </w:rPr>
        <w:t xml:space="preserve">can be regarded </w:t>
      </w:r>
      <w:r w:rsidR="005C698F" w:rsidRPr="00DC0382">
        <w:rPr>
          <w:rFonts w:eastAsiaTheme="minorEastAsia"/>
          <w:sz w:val="28"/>
          <w:szCs w:val="28"/>
          <w:lang w:val="en-US" w:eastAsia="zh-CN"/>
        </w:rPr>
        <w:t xml:space="preserve">in their turn </w:t>
      </w:r>
      <w:r w:rsidR="0043708D" w:rsidRPr="00DC0382">
        <w:rPr>
          <w:rFonts w:eastAsiaTheme="minorEastAsia"/>
          <w:sz w:val="28"/>
          <w:szCs w:val="28"/>
          <w:lang w:val="en-US" w:eastAsia="zh-CN"/>
        </w:rPr>
        <w:t xml:space="preserve">as one of the causes of the development of </w:t>
      </w:r>
      <w:r w:rsidR="005C698F" w:rsidRPr="00DC0382">
        <w:rPr>
          <w:rFonts w:eastAsiaTheme="minorEastAsia"/>
          <w:sz w:val="28"/>
          <w:szCs w:val="28"/>
          <w:lang w:val="en-US" w:eastAsia="zh-CN"/>
        </w:rPr>
        <w:t xml:space="preserve">Hp </w:t>
      </w:r>
      <w:r w:rsidR="0043708D" w:rsidRPr="00DC0382">
        <w:rPr>
          <w:rFonts w:eastAsiaTheme="minorEastAsia"/>
          <w:sz w:val="28"/>
          <w:szCs w:val="28"/>
          <w:lang w:val="en-US" w:eastAsia="zh-CN"/>
        </w:rPr>
        <w:t xml:space="preserve">resistance to antibiotics conventionally used in the </w:t>
      </w:r>
      <w:r w:rsidR="005C698F" w:rsidRPr="00DC0382">
        <w:rPr>
          <w:rFonts w:eastAsiaTheme="minorEastAsia"/>
          <w:sz w:val="28"/>
          <w:szCs w:val="28"/>
          <w:lang w:val="en-US" w:eastAsia="zh-CN"/>
        </w:rPr>
        <w:t xml:space="preserve">anti-Hp </w:t>
      </w:r>
      <w:r w:rsidR="00C0130C" w:rsidRPr="00DC0382">
        <w:rPr>
          <w:rFonts w:eastAsiaTheme="minorEastAsia"/>
          <w:sz w:val="28"/>
          <w:szCs w:val="28"/>
          <w:lang w:val="en-US" w:eastAsia="zh-CN"/>
        </w:rPr>
        <w:t xml:space="preserve">treatment </w:t>
      </w:r>
      <w:r w:rsidR="005C698F" w:rsidRPr="00DC0382">
        <w:rPr>
          <w:rFonts w:eastAsiaTheme="minorEastAsia"/>
          <w:sz w:val="28"/>
          <w:szCs w:val="28"/>
          <w:lang w:val="en-US" w:eastAsia="zh-CN"/>
        </w:rPr>
        <w:t>schemes</w:t>
      </w:r>
      <w:r w:rsidR="0043708D" w:rsidRPr="00DC0382">
        <w:rPr>
          <w:rFonts w:eastAsiaTheme="minorEastAsia"/>
          <w:sz w:val="28"/>
          <w:szCs w:val="28"/>
          <w:lang w:val="en-US" w:eastAsia="zh-CN"/>
        </w:rPr>
        <w:t xml:space="preserve">. These changes contribute to a progressive decrease in the effectiveness of eradication of the </w:t>
      </w:r>
      <w:r w:rsidR="00C0130C" w:rsidRPr="00DC0382">
        <w:rPr>
          <w:rFonts w:eastAsiaTheme="minorEastAsia"/>
          <w:sz w:val="28"/>
          <w:szCs w:val="28"/>
          <w:lang w:val="en-US" w:eastAsia="zh-CN"/>
        </w:rPr>
        <w:t xml:space="preserve">microorganism </w:t>
      </w:r>
      <w:r w:rsidR="0043708D" w:rsidRPr="00DC0382">
        <w:rPr>
          <w:rFonts w:eastAsiaTheme="minorEastAsia"/>
          <w:sz w:val="28"/>
          <w:szCs w:val="28"/>
          <w:lang w:val="en-US" w:eastAsia="zh-CN"/>
        </w:rPr>
        <w:t>[</w:t>
      </w:r>
      <w:fldSimple w:instr=" REF _Ref381466989 \r \h  \* MERGEFORMAT ">
        <w:r w:rsidR="006D379E" w:rsidRPr="00DC0382">
          <w:rPr>
            <w:rFonts w:eastAsiaTheme="minorEastAsia"/>
            <w:sz w:val="28"/>
            <w:szCs w:val="28"/>
            <w:lang w:val="en-US" w:eastAsia="zh-CN"/>
          </w:rPr>
          <w:t>2</w:t>
        </w:r>
      </w:fldSimple>
      <w:r w:rsidR="0043708D" w:rsidRPr="00DC0382">
        <w:rPr>
          <w:rFonts w:eastAsiaTheme="minorEastAsia"/>
          <w:sz w:val="28"/>
          <w:szCs w:val="28"/>
          <w:lang w:val="en-US" w:eastAsia="zh-CN"/>
        </w:rPr>
        <w:t>]. Ch</w:t>
      </w:r>
      <w:r w:rsidR="00C0130C" w:rsidRPr="00DC0382">
        <w:rPr>
          <w:rFonts w:eastAsiaTheme="minorEastAsia"/>
          <w:sz w:val="28"/>
          <w:szCs w:val="28"/>
          <w:lang w:val="en-US" w:eastAsia="zh-CN"/>
        </w:rPr>
        <w:t xml:space="preserve">anged </w:t>
      </w:r>
      <w:proofErr w:type="spellStart"/>
      <w:r w:rsidR="0043708D" w:rsidRPr="00DC0382">
        <w:rPr>
          <w:rFonts w:eastAsiaTheme="minorEastAsia"/>
          <w:sz w:val="28"/>
          <w:szCs w:val="28"/>
          <w:lang w:val="en-US" w:eastAsia="zh-CN"/>
        </w:rPr>
        <w:t>biocenosis</w:t>
      </w:r>
      <w:proofErr w:type="spellEnd"/>
      <w:r w:rsidR="0043708D" w:rsidRPr="00DC0382">
        <w:rPr>
          <w:rFonts w:eastAsiaTheme="minorEastAsia"/>
          <w:sz w:val="28"/>
          <w:szCs w:val="28"/>
          <w:lang w:val="en-US" w:eastAsia="zh-CN"/>
        </w:rPr>
        <w:t xml:space="preserve"> </w:t>
      </w:r>
      <w:r w:rsidR="00C0130C" w:rsidRPr="00DC0382">
        <w:rPr>
          <w:rFonts w:eastAsiaTheme="minorEastAsia"/>
          <w:sz w:val="28"/>
          <w:szCs w:val="28"/>
          <w:lang w:val="en-US" w:eastAsia="zh-CN"/>
        </w:rPr>
        <w:t xml:space="preserve">of </w:t>
      </w:r>
      <w:r w:rsidR="0043708D" w:rsidRPr="00DC0382">
        <w:rPr>
          <w:rFonts w:eastAsiaTheme="minorEastAsia"/>
          <w:sz w:val="28"/>
          <w:szCs w:val="28"/>
          <w:lang w:val="en-US" w:eastAsia="zh-CN"/>
        </w:rPr>
        <w:t xml:space="preserve">one </w:t>
      </w:r>
      <w:r w:rsidR="00C0130C" w:rsidRPr="00DC0382">
        <w:rPr>
          <w:rFonts w:eastAsiaTheme="minorEastAsia"/>
          <w:sz w:val="28"/>
          <w:szCs w:val="28"/>
          <w:lang w:val="en-US" w:eastAsia="zh-CN"/>
        </w:rPr>
        <w:t xml:space="preserve">biotope </w:t>
      </w:r>
      <w:r w:rsidR="0043708D" w:rsidRPr="00DC0382">
        <w:rPr>
          <w:rFonts w:eastAsiaTheme="minorEastAsia"/>
          <w:sz w:val="28"/>
          <w:szCs w:val="28"/>
          <w:lang w:val="en-US" w:eastAsia="zh-CN"/>
        </w:rPr>
        <w:t xml:space="preserve">entails translocation of microorganisms </w:t>
      </w:r>
      <w:r w:rsidR="00C0130C" w:rsidRPr="00DC0382">
        <w:rPr>
          <w:rFonts w:eastAsiaTheme="minorEastAsia"/>
          <w:sz w:val="28"/>
          <w:szCs w:val="28"/>
          <w:lang w:val="en-US" w:eastAsia="zh-CN"/>
        </w:rPr>
        <w:t>to</w:t>
      </w:r>
      <w:r w:rsidR="0043708D" w:rsidRPr="00DC0382">
        <w:rPr>
          <w:rFonts w:eastAsiaTheme="minorEastAsia"/>
          <w:sz w:val="28"/>
          <w:szCs w:val="28"/>
          <w:lang w:val="en-US" w:eastAsia="zh-CN"/>
        </w:rPr>
        <w:t xml:space="preserve"> </w:t>
      </w:r>
      <w:r w:rsidR="00C0130C" w:rsidRPr="00DC0382">
        <w:rPr>
          <w:rFonts w:eastAsiaTheme="minorEastAsia"/>
          <w:sz w:val="28"/>
          <w:szCs w:val="28"/>
          <w:lang w:val="en-US" w:eastAsia="zh-CN"/>
        </w:rPr>
        <w:t xml:space="preserve">non-typical biotopes </w:t>
      </w:r>
      <w:r w:rsidR="0043708D" w:rsidRPr="00DC0382">
        <w:rPr>
          <w:rFonts w:eastAsiaTheme="minorEastAsia"/>
          <w:sz w:val="28"/>
          <w:szCs w:val="28"/>
          <w:lang w:val="en-US" w:eastAsia="zh-CN"/>
        </w:rPr>
        <w:t xml:space="preserve">with reduced colonization resistance of individual </w:t>
      </w:r>
      <w:r w:rsidR="00C0130C" w:rsidRPr="00DC0382">
        <w:rPr>
          <w:rFonts w:eastAsiaTheme="minorEastAsia"/>
          <w:sz w:val="28"/>
          <w:szCs w:val="28"/>
          <w:lang w:val="en-US" w:eastAsia="zh-CN"/>
        </w:rPr>
        <w:t>biotopes</w:t>
      </w:r>
      <w:r w:rsidR="00BB4897">
        <w:rPr>
          <w:rFonts w:eastAsiaTheme="minorEastAsia"/>
          <w:sz w:val="28"/>
          <w:szCs w:val="28"/>
          <w:lang w:val="en-US" w:eastAsia="zh-CN"/>
        </w:rPr>
        <w:t>,</w:t>
      </w:r>
      <w:r w:rsidR="00C0130C" w:rsidRPr="00DC0382">
        <w:rPr>
          <w:rFonts w:eastAsiaTheme="minorEastAsia"/>
          <w:sz w:val="28"/>
          <w:szCs w:val="28"/>
          <w:lang w:val="en-US" w:eastAsia="zh-CN"/>
        </w:rPr>
        <w:t xml:space="preserve"> as well as the whole</w:t>
      </w:r>
      <w:r w:rsidR="0043708D" w:rsidRPr="00DC0382">
        <w:rPr>
          <w:rFonts w:eastAsiaTheme="minorEastAsia"/>
          <w:sz w:val="28"/>
          <w:szCs w:val="28"/>
          <w:lang w:val="en-US" w:eastAsia="zh-CN"/>
        </w:rPr>
        <w:t xml:space="preserve"> </w:t>
      </w:r>
      <w:proofErr w:type="spellStart"/>
      <w:r w:rsidR="0043708D" w:rsidRPr="00DC0382">
        <w:rPr>
          <w:rFonts w:eastAsiaTheme="minorEastAsia"/>
          <w:sz w:val="28"/>
          <w:szCs w:val="28"/>
          <w:lang w:val="en-US" w:eastAsia="zh-CN"/>
        </w:rPr>
        <w:t>microecological</w:t>
      </w:r>
      <w:proofErr w:type="spellEnd"/>
      <w:r w:rsidR="0043708D" w:rsidRPr="00DC0382">
        <w:rPr>
          <w:rFonts w:eastAsiaTheme="minorEastAsia"/>
          <w:sz w:val="28"/>
          <w:szCs w:val="28"/>
          <w:lang w:val="en-US" w:eastAsia="zh-CN"/>
        </w:rPr>
        <w:t xml:space="preserve"> system </w:t>
      </w:r>
      <w:r w:rsidR="00C0130C" w:rsidRPr="00DC0382">
        <w:rPr>
          <w:rFonts w:eastAsiaTheme="minorEastAsia"/>
          <w:sz w:val="28"/>
          <w:szCs w:val="28"/>
          <w:lang w:val="en-US" w:eastAsia="zh-CN"/>
        </w:rPr>
        <w:t>at all</w:t>
      </w:r>
      <w:r w:rsidR="0043708D" w:rsidRPr="00DC0382">
        <w:rPr>
          <w:rFonts w:eastAsiaTheme="minorEastAsia"/>
          <w:sz w:val="28"/>
          <w:szCs w:val="28"/>
          <w:lang w:val="en-US" w:eastAsia="zh-CN"/>
        </w:rPr>
        <w:t xml:space="preserve"> [</w:t>
      </w:r>
      <w:fldSimple w:instr=" REF _Ref381467009 \r \h  \* MERGEFORMAT ">
        <w:r w:rsidR="006D379E" w:rsidRPr="00DC0382">
          <w:rPr>
            <w:rFonts w:eastAsiaTheme="minorEastAsia"/>
            <w:sz w:val="28"/>
            <w:szCs w:val="28"/>
            <w:lang w:val="en-US" w:eastAsia="zh-CN"/>
          </w:rPr>
          <w:t>17</w:t>
        </w:r>
      </w:fldSimple>
      <w:r w:rsidR="0043708D" w:rsidRPr="00DC0382">
        <w:rPr>
          <w:rFonts w:eastAsiaTheme="minorEastAsia"/>
          <w:sz w:val="28"/>
          <w:szCs w:val="28"/>
          <w:lang w:val="en-US" w:eastAsia="zh-CN"/>
        </w:rPr>
        <w:t xml:space="preserve">]. </w:t>
      </w:r>
      <w:r w:rsidR="00C0130C" w:rsidRPr="00DC0382">
        <w:rPr>
          <w:rFonts w:eastAsiaTheme="minorEastAsia"/>
          <w:sz w:val="28"/>
          <w:szCs w:val="28"/>
          <w:lang w:val="en-US" w:eastAsia="zh-CN"/>
        </w:rPr>
        <w:t xml:space="preserve">Small intestinal bacterial overgrowth </w:t>
      </w:r>
      <w:r w:rsidR="006754EA" w:rsidRPr="00DC0382">
        <w:rPr>
          <w:rFonts w:eastAsiaTheme="minorEastAsia"/>
          <w:sz w:val="28"/>
          <w:szCs w:val="28"/>
          <w:lang w:val="en-US" w:eastAsia="zh-CN"/>
        </w:rPr>
        <w:t xml:space="preserve">(SIBO) </w:t>
      </w:r>
      <w:r w:rsidR="00C0130C" w:rsidRPr="00DC0382">
        <w:rPr>
          <w:rFonts w:eastAsiaTheme="minorEastAsia"/>
          <w:sz w:val="28"/>
          <w:szCs w:val="28"/>
          <w:lang w:val="en-US" w:eastAsia="zh-CN"/>
        </w:rPr>
        <w:t xml:space="preserve">may </w:t>
      </w:r>
      <w:r w:rsidR="006754EA" w:rsidRPr="00DC0382">
        <w:rPr>
          <w:rFonts w:eastAsiaTheme="minorEastAsia"/>
          <w:sz w:val="28"/>
          <w:szCs w:val="28"/>
          <w:lang w:val="en-US" w:eastAsia="zh-CN"/>
        </w:rPr>
        <w:t>serve</w:t>
      </w:r>
      <w:r w:rsidR="00C0130C" w:rsidRPr="00DC0382">
        <w:rPr>
          <w:rFonts w:eastAsiaTheme="minorEastAsia"/>
          <w:sz w:val="28"/>
          <w:szCs w:val="28"/>
          <w:lang w:val="en-US" w:eastAsia="zh-CN"/>
        </w:rPr>
        <w:t xml:space="preserve"> as </w:t>
      </w:r>
      <w:r w:rsidR="006754EA" w:rsidRPr="00DC0382">
        <w:rPr>
          <w:rFonts w:eastAsiaTheme="minorEastAsia"/>
          <w:sz w:val="28"/>
          <w:szCs w:val="28"/>
          <w:lang w:val="en-US" w:eastAsia="zh-CN"/>
        </w:rPr>
        <w:t>the</w:t>
      </w:r>
      <w:r w:rsidR="00C0130C" w:rsidRPr="00DC0382">
        <w:rPr>
          <w:rFonts w:eastAsiaTheme="minorEastAsia"/>
          <w:sz w:val="28"/>
          <w:szCs w:val="28"/>
          <w:lang w:val="en-US" w:eastAsia="zh-CN"/>
        </w:rPr>
        <w:t xml:space="preserve"> m</w:t>
      </w:r>
      <w:r w:rsidR="0043708D" w:rsidRPr="00DC0382">
        <w:rPr>
          <w:rFonts w:eastAsiaTheme="minorEastAsia"/>
          <w:sz w:val="28"/>
          <w:szCs w:val="28"/>
          <w:lang w:val="en-US" w:eastAsia="zh-CN"/>
        </w:rPr>
        <w:t xml:space="preserve">anifestation of </w:t>
      </w:r>
      <w:r w:rsidR="00C0130C" w:rsidRPr="00DC0382">
        <w:rPr>
          <w:rFonts w:eastAsiaTheme="minorEastAsia"/>
          <w:sz w:val="28"/>
          <w:szCs w:val="28"/>
          <w:lang w:val="en-US" w:eastAsia="zh-CN"/>
        </w:rPr>
        <w:t>such a</w:t>
      </w:r>
      <w:r w:rsidR="0043708D" w:rsidRPr="00DC0382">
        <w:rPr>
          <w:rFonts w:eastAsiaTheme="minorEastAsia"/>
          <w:sz w:val="28"/>
          <w:szCs w:val="28"/>
          <w:lang w:val="en-US" w:eastAsia="zh-CN"/>
        </w:rPr>
        <w:t xml:space="preserve"> </w:t>
      </w:r>
      <w:proofErr w:type="spellStart"/>
      <w:r w:rsidR="00C0130C" w:rsidRPr="00DC0382">
        <w:rPr>
          <w:rFonts w:eastAsiaTheme="minorEastAsia"/>
          <w:sz w:val="28"/>
          <w:szCs w:val="28"/>
          <w:lang w:val="en-US" w:eastAsia="zh-CN"/>
        </w:rPr>
        <w:t>microflora</w:t>
      </w:r>
      <w:proofErr w:type="spellEnd"/>
      <w:r w:rsidR="00C0130C" w:rsidRPr="00DC0382">
        <w:rPr>
          <w:rFonts w:eastAsiaTheme="minorEastAsia"/>
          <w:sz w:val="28"/>
          <w:szCs w:val="28"/>
          <w:lang w:val="en-US" w:eastAsia="zh-CN"/>
        </w:rPr>
        <w:t xml:space="preserve"> </w:t>
      </w:r>
      <w:r w:rsidR="0043708D" w:rsidRPr="00DC0382">
        <w:rPr>
          <w:rFonts w:eastAsiaTheme="minorEastAsia"/>
          <w:sz w:val="28"/>
          <w:szCs w:val="28"/>
          <w:lang w:val="en-US" w:eastAsia="zh-CN"/>
        </w:rPr>
        <w:t>translocation</w:t>
      </w:r>
      <w:r w:rsidR="006754EA" w:rsidRPr="00DC0382">
        <w:rPr>
          <w:rFonts w:eastAsiaTheme="minorEastAsia"/>
          <w:sz w:val="28"/>
          <w:szCs w:val="28"/>
          <w:lang w:val="en-US" w:eastAsia="zh-CN"/>
        </w:rPr>
        <w:t>.</w:t>
      </w:r>
      <w:r w:rsidR="0043708D" w:rsidRPr="00DC0382">
        <w:rPr>
          <w:rFonts w:eastAsiaTheme="minorEastAsia"/>
          <w:sz w:val="28"/>
          <w:szCs w:val="28"/>
          <w:lang w:val="en-US" w:eastAsia="zh-CN"/>
        </w:rPr>
        <w:t xml:space="preserve"> </w:t>
      </w:r>
      <w:r w:rsidR="006754EA" w:rsidRPr="00DC0382">
        <w:rPr>
          <w:rFonts w:eastAsiaTheme="minorEastAsia"/>
          <w:sz w:val="28"/>
          <w:szCs w:val="28"/>
          <w:lang w:val="en-US" w:eastAsia="zh-CN"/>
        </w:rPr>
        <w:t>It</w:t>
      </w:r>
      <w:r w:rsidR="0043708D" w:rsidRPr="00DC0382">
        <w:rPr>
          <w:rFonts w:eastAsiaTheme="minorEastAsia"/>
          <w:sz w:val="28"/>
          <w:szCs w:val="28"/>
          <w:lang w:val="en-US" w:eastAsia="zh-CN"/>
        </w:rPr>
        <w:t xml:space="preserve"> is diagnosed </w:t>
      </w:r>
      <w:r w:rsidR="006754EA" w:rsidRPr="00DC0382">
        <w:rPr>
          <w:rFonts w:eastAsiaTheme="minorEastAsia"/>
          <w:sz w:val="28"/>
          <w:szCs w:val="28"/>
          <w:lang w:val="en-US" w:eastAsia="zh-CN"/>
        </w:rPr>
        <w:t>when</w:t>
      </w:r>
      <w:r w:rsidR="0043708D" w:rsidRPr="00DC0382">
        <w:rPr>
          <w:rFonts w:eastAsiaTheme="minorEastAsia"/>
          <w:sz w:val="28"/>
          <w:szCs w:val="28"/>
          <w:lang w:val="en-US" w:eastAsia="zh-CN"/>
        </w:rPr>
        <w:t xml:space="preserve"> the number of microorganisms in the </w:t>
      </w:r>
      <w:r w:rsidR="006754EA" w:rsidRPr="00DC0382">
        <w:rPr>
          <w:rFonts w:eastAsiaTheme="minorEastAsia"/>
          <w:sz w:val="28"/>
          <w:szCs w:val="28"/>
          <w:lang w:val="en-US" w:eastAsia="zh-CN"/>
        </w:rPr>
        <w:t>small bowel</w:t>
      </w:r>
      <w:r w:rsidR="0043708D" w:rsidRPr="00DC0382">
        <w:rPr>
          <w:rFonts w:eastAsiaTheme="minorEastAsia"/>
          <w:sz w:val="28"/>
          <w:szCs w:val="28"/>
          <w:lang w:val="en-US" w:eastAsia="zh-CN"/>
        </w:rPr>
        <w:t xml:space="preserve"> exceeds </w:t>
      </w:r>
      <w:proofErr w:type="gramStart"/>
      <w:r w:rsidR="0043708D" w:rsidRPr="00DC0382">
        <w:rPr>
          <w:rFonts w:eastAsiaTheme="minorEastAsia"/>
          <w:sz w:val="28"/>
          <w:szCs w:val="28"/>
          <w:lang w:val="en-US" w:eastAsia="zh-CN"/>
        </w:rPr>
        <w:t>10</w:t>
      </w:r>
      <w:r w:rsidR="0043708D" w:rsidRPr="00DC0382">
        <w:rPr>
          <w:rFonts w:eastAsiaTheme="minorEastAsia"/>
          <w:sz w:val="28"/>
          <w:szCs w:val="28"/>
          <w:vertAlign w:val="superscript"/>
          <w:lang w:val="en-US" w:eastAsia="zh-CN"/>
        </w:rPr>
        <w:t>4</w:t>
      </w:r>
      <w:r w:rsidR="00BB4897">
        <w:rPr>
          <w:rFonts w:eastAsiaTheme="minorEastAsia"/>
          <w:sz w:val="28"/>
          <w:szCs w:val="28"/>
          <w:vertAlign w:val="superscript"/>
          <w:lang w:val="en-US" w:eastAsia="zh-CN"/>
        </w:rPr>
        <w:sym w:font="Symbol" w:char="F02D"/>
      </w:r>
      <w:r w:rsidR="0043708D" w:rsidRPr="00DC0382">
        <w:rPr>
          <w:rFonts w:eastAsiaTheme="minorEastAsia"/>
          <w:sz w:val="28"/>
          <w:szCs w:val="28"/>
          <w:vertAlign w:val="superscript"/>
          <w:lang w:val="en-US" w:eastAsia="zh-CN"/>
        </w:rPr>
        <w:t>5</w:t>
      </w:r>
      <w:r w:rsidR="006754EA" w:rsidRPr="00DC0382">
        <w:rPr>
          <w:rFonts w:eastAsiaTheme="minorEastAsia"/>
          <w:sz w:val="28"/>
          <w:szCs w:val="28"/>
          <w:lang w:val="en-US" w:eastAsia="zh-CN"/>
        </w:rPr>
        <w:t>/ml</w:t>
      </w:r>
      <w:proofErr w:type="gramEnd"/>
      <w:r w:rsidR="0043708D" w:rsidRPr="00DC0382">
        <w:rPr>
          <w:rFonts w:eastAsiaTheme="minorEastAsia"/>
          <w:sz w:val="28"/>
          <w:szCs w:val="28"/>
          <w:lang w:val="en-US" w:eastAsia="zh-CN"/>
        </w:rPr>
        <w:t xml:space="preserve">. Thus, </w:t>
      </w:r>
      <w:r w:rsidR="006754EA" w:rsidRPr="00DC0382">
        <w:rPr>
          <w:rFonts w:eastAsiaTheme="minorEastAsia"/>
          <w:sz w:val="28"/>
          <w:szCs w:val="28"/>
          <w:lang w:val="en-US" w:eastAsia="zh-CN"/>
        </w:rPr>
        <w:t xml:space="preserve">SIBO </w:t>
      </w:r>
      <w:r w:rsidR="0043708D" w:rsidRPr="00DC0382">
        <w:rPr>
          <w:rFonts w:eastAsiaTheme="minorEastAsia"/>
          <w:sz w:val="28"/>
          <w:szCs w:val="28"/>
          <w:lang w:val="en-US" w:eastAsia="zh-CN"/>
        </w:rPr>
        <w:t xml:space="preserve">can be </w:t>
      </w:r>
      <w:r w:rsidR="006754EA" w:rsidRPr="00DC0382">
        <w:rPr>
          <w:rFonts w:eastAsiaTheme="minorEastAsia"/>
          <w:sz w:val="28"/>
          <w:szCs w:val="28"/>
          <w:lang w:val="en-US" w:eastAsia="zh-CN"/>
        </w:rPr>
        <w:t>regarded</w:t>
      </w:r>
      <w:r w:rsidR="0043708D" w:rsidRPr="00DC0382">
        <w:rPr>
          <w:rFonts w:eastAsiaTheme="minorEastAsia"/>
          <w:sz w:val="28"/>
          <w:szCs w:val="28"/>
          <w:lang w:val="en-US" w:eastAsia="zh-CN"/>
        </w:rPr>
        <w:t xml:space="preserve"> </w:t>
      </w:r>
      <w:r w:rsidR="006754EA" w:rsidRPr="00DC0382">
        <w:rPr>
          <w:rFonts w:eastAsiaTheme="minorEastAsia"/>
          <w:sz w:val="28"/>
          <w:szCs w:val="28"/>
          <w:lang w:val="en-US" w:eastAsia="zh-CN"/>
        </w:rPr>
        <w:t xml:space="preserve">as the small intestinal </w:t>
      </w:r>
      <w:proofErr w:type="spellStart"/>
      <w:r w:rsidR="006754EA" w:rsidRPr="00DC0382">
        <w:rPr>
          <w:rFonts w:eastAsiaTheme="minorEastAsia"/>
          <w:sz w:val="28"/>
          <w:szCs w:val="28"/>
          <w:lang w:val="en-US" w:eastAsia="zh-CN"/>
        </w:rPr>
        <w:t>dysbiosis</w:t>
      </w:r>
      <w:proofErr w:type="spellEnd"/>
      <w:r w:rsidR="006754EA" w:rsidRPr="00DC0382">
        <w:rPr>
          <w:rFonts w:eastAsiaTheme="minorEastAsia"/>
          <w:sz w:val="28"/>
          <w:szCs w:val="28"/>
          <w:lang w:val="en-US" w:eastAsia="zh-CN"/>
        </w:rPr>
        <w:t xml:space="preserve"> [</w:t>
      </w:r>
      <w:fldSimple w:instr=" REF _Ref381467038 \r \h  \* MERGEFORMAT ">
        <w:r w:rsidR="006D379E" w:rsidRPr="00DC0382">
          <w:rPr>
            <w:rFonts w:eastAsiaTheme="minorEastAsia"/>
            <w:sz w:val="28"/>
            <w:szCs w:val="28"/>
            <w:lang w:val="en-US" w:eastAsia="zh-CN"/>
          </w:rPr>
          <w:t>3</w:t>
        </w:r>
      </w:fldSimple>
      <w:r w:rsidR="0043708D" w:rsidRPr="00DC0382">
        <w:rPr>
          <w:rFonts w:eastAsiaTheme="minorEastAsia"/>
          <w:sz w:val="28"/>
          <w:szCs w:val="28"/>
          <w:lang w:val="en-US" w:eastAsia="zh-CN"/>
        </w:rPr>
        <w:t xml:space="preserve">, </w:t>
      </w:r>
      <w:fldSimple w:instr=" REF _Ref381467043 \r \h  \* MERGEFORMAT ">
        <w:r w:rsidR="006D379E" w:rsidRPr="00DC0382">
          <w:rPr>
            <w:rFonts w:eastAsiaTheme="minorEastAsia"/>
            <w:sz w:val="28"/>
            <w:szCs w:val="28"/>
            <w:lang w:val="en-US" w:eastAsia="zh-CN"/>
          </w:rPr>
          <w:t>13</w:t>
        </w:r>
      </w:fldSimple>
      <w:r w:rsidR="0043708D" w:rsidRPr="00DC0382">
        <w:rPr>
          <w:rFonts w:eastAsiaTheme="minorEastAsia"/>
          <w:sz w:val="28"/>
          <w:szCs w:val="28"/>
          <w:lang w:val="en-US" w:eastAsia="zh-CN"/>
        </w:rPr>
        <w:t xml:space="preserve">, </w:t>
      </w:r>
      <w:r w:rsidR="00AF110E" w:rsidRPr="00DC0382">
        <w:rPr>
          <w:rFonts w:eastAsiaTheme="minorEastAsia"/>
          <w:sz w:val="28"/>
          <w:szCs w:val="28"/>
          <w:lang w:val="en-US" w:eastAsia="zh-CN"/>
        </w:rPr>
        <w:fldChar w:fldCharType="begin"/>
      </w:r>
      <w:r w:rsidR="006D379E" w:rsidRPr="00DC0382">
        <w:rPr>
          <w:rFonts w:eastAsiaTheme="minorEastAsia"/>
          <w:sz w:val="28"/>
          <w:szCs w:val="28"/>
          <w:lang w:val="en-US" w:eastAsia="zh-CN"/>
        </w:rPr>
        <w:instrText xml:space="preserve"> REF _Ref381467009 \r \h </w:instrText>
      </w:r>
      <w:r w:rsidR="00DC0382">
        <w:rPr>
          <w:rFonts w:eastAsiaTheme="minorEastAsia"/>
          <w:sz w:val="28"/>
          <w:szCs w:val="28"/>
          <w:lang w:val="en-US" w:eastAsia="zh-CN"/>
        </w:rPr>
        <w:instrText xml:space="preserve"> \* MERGEFORMAT </w:instrText>
      </w:r>
      <w:r w:rsidR="00AF110E" w:rsidRPr="00DC0382">
        <w:rPr>
          <w:rFonts w:eastAsiaTheme="minorEastAsia"/>
          <w:sz w:val="28"/>
          <w:szCs w:val="28"/>
          <w:lang w:val="en-US" w:eastAsia="zh-CN"/>
        </w:rPr>
      </w:r>
      <w:r w:rsidR="00AF110E" w:rsidRPr="00DC0382">
        <w:rPr>
          <w:rFonts w:eastAsiaTheme="minorEastAsia"/>
          <w:sz w:val="28"/>
          <w:szCs w:val="28"/>
          <w:lang w:val="en-US" w:eastAsia="zh-CN"/>
        </w:rPr>
        <w:fldChar w:fldCharType="separate"/>
      </w:r>
      <w:proofErr w:type="gramStart"/>
      <w:r w:rsidR="006D379E" w:rsidRPr="00DC0382">
        <w:rPr>
          <w:rFonts w:eastAsiaTheme="minorEastAsia"/>
          <w:sz w:val="28"/>
          <w:szCs w:val="28"/>
          <w:lang w:val="en-US" w:eastAsia="zh-CN"/>
        </w:rPr>
        <w:t>17</w:t>
      </w:r>
      <w:proofErr w:type="gramEnd"/>
      <w:r w:rsidR="00AF110E" w:rsidRPr="00DC0382">
        <w:rPr>
          <w:rFonts w:eastAsiaTheme="minorEastAsia"/>
          <w:sz w:val="28"/>
          <w:szCs w:val="28"/>
          <w:lang w:val="en-US" w:eastAsia="zh-CN"/>
        </w:rPr>
        <w:fldChar w:fldCharType="end"/>
      </w:r>
      <w:r w:rsidR="0043708D" w:rsidRPr="00DC0382">
        <w:rPr>
          <w:rFonts w:eastAsiaTheme="minorEastAsia"/>
          <w:sz w:val="28"/>
          <w:szCs w:val="28"/>
          <w:lang w:val="en-US" w:eastAsia="zh-CN"/>
        </w:rPr>
        <w:t>].</w:t>
      </w:r>
    </w:p>
    <w:p w:rsidR="00554FAF" w:rsidRPr="00DC0382" w:rsidRDefault="00554FAF" w:rsidP="00FC7F57">
      <w:pPr>
        <w:spacing w:after="0" w:line="360" w:lineRule="auto"/>
        <w:ind w:firstLine="709"/>
        <w:jc w:val="both"/>
        <w:rPr>
          <w:rFonts w:eastAsiaTheme="minorEastAsia"/>
          <w:sz w:val="28"/>
          <w:szCs w:val="28"/>
          <w:lang w:val="en-US" w:eastAsia="zh-CN"/>
        </w:rPr>
      </w:pPr>
      <w:r w:rsidRPr="00DC0382">
        <w:rPr>
          <w:rFonts w:eastAsiaTheme="minorEastAsia"/>
          <w:sz w:val="28"/>
          <w:szCs w:val="28"/>
          <w:lang w:val="en-US" w:eastAsia="zh-CN"/>
        </w:rPr>
        <w:t xml:space="preserve">Disruptions of the normal </w:t>
      </w:r>
      <w:proofErr w:type="spellStart"/>
      <w:r w:rsidRPr="00DC0382">
        <w:rPr>
          <w:rFonts w:eastAsiaTheme="minorEastAsia"/>
          <w:sz w:val="28"/>
          <w:szCs w:val="28"/>
          <w:lang w:val="en-US" w:eastAsia="zh-CN"/>
        </w:rPr>
        <w:t>microflora</w:t>
      </w:r>
      <w:proofErr w:type="spellEnd"/>
      <w:r w:rsidRPr="00DC0382">
        <w:rPr>
          <w:rFonts w:eastAsiaTheme="minorEastAsia"/>
          <w:sz w:val="28"/>
          <w:szCs w:val="28"/>
          <w:lang w:val="en-US" w:eastAsia="zh-CN"/>
        </w:rPr>
        <w:t xml:space="preserve"> correlation in the different parts of the intestinal tube may involve the accumulation of </w:t>
      </w:r>
      <w:proofErr w:type="spellStart"/>
      <w:r w:rsidRPr="00DC0382">
        <w:rPr>
          <w:rFonts w:eastAsiaTheme="minorEastAsia"/>
          <w:sz w:val="28"/>
          <w:szCs w:val="28"/>
          <w:lang w:val="en-US" w:eastAsia="zh-CN"/>
        </w:rPr>
        <w:t>endotoxins</w:t>
      </w:r>
      <w:proofErr w:type="spellEnd"/>
      <w:r w:rsidRPr="00DC0382">
        <w:rPr>
          <w:rFonts w:eastAsiaTheme="minorEastAsia"/>
          <w:sz w:val="28"/>
          <w:szCs w:val="28"/>
          <w:lang w:val="en-US" w:eastAsia="zh-CN"/>
        </w:rPr>
        <w:t xml:space="preserve"> of gram-negative bacteria in the intestinal lumen and their subsequent absorption, entering the systemic blood flow</w:t>
      </w:r>
      <w:r w:rsidR="008E721A" w:rsidRPr="00DC0382">
        <w:rPr>
          <w:rFonts w:eastAsiaTheme="minorEastAsia"/>
          <w:sz w:val="28"/>
          <w:szCs w:val="28"/>
          <w:lang w:val="en-US" w:eastAsia="zh-CN"/>
        </w:rPr>
        <w:t xml:space="preserve"> </w:t>
      </w:r>
      <w:r w:rsidRPr="00DC0382">
        <w:rPr>
          <w:rFonts w:eastAsiaTheme="minorEastAsia"/>
          <w:sz w:val="28"/>
          <w:szCs w:val="28"/>
          <w:lang w:val="en-US" w:eastAsia="zh-CN"/>
        </w:rPr>
        <w:t xml:space="preserve">and the development of endogenous intoxication. </w:t>
      </w:r>
      <w:proofErr w:type="spellStart"/>
      <w:r w:rsidRPr="00DC0382">
        <w:rPr>
          <w:rFonts w:eastAsiaTheme="minorEastAsia"/>
          <w:sz w:val="28"/>
          <w:szCs w:val="28"/>
          <w:lang w:val="en-US" w:eastAsia="zh-CN"/>
        </w:rPr>
        <w:t>Endotoxins</w:t>
      </w:r>
      <w:proofErr w:type="spellEnd"/>
      <w:r w:rsidRPr="00DC0382">
        <w:rPr>
          <w:rFonts w:eastAsiaTheme="minorEastAsia"/>
          <w:sz w:val="28"/>
          <w:szCs w:val="28"/>
          <w:lang w:val="en-US" w:eastAsia="zh-CN"/>
        </w:rPr>
        <w:t xml:space="preserve"> are the </w:t>
      </w:r>
      <w:proofErr w:type="spellStart"/>
      <w:r w:rsidRPr="00DC0382">
        <w:rPr>
          <w:rFonts w:eastAsiaTheme="minorEastAsia"/>
          <w:sz w:val="28"/>
          <w:szCs w:val="28"/>
          <w:lang w:val="en-US" w:eastAsia="zh-CN"/>
        </w:rPr>
        <w:t>lipopolysaccharides</w:t>
      </w:r>
      <w:proofErr w:type="spellEnd"/>
      <w:r w:rsidRPr="00DC0382">
        <w:rPr>
          <w:rFonts w:eastAsiaTheme="minorEastAsia"/>
          <w:sz w:val="28"/>
          <w:szCs w:val="28"/>
          <w:lang w:val="en-US" w:eastAsia="zh-CN"/>
        </w:rPr>
        <w:t xml:space="preserve"> (LPS) of gram-negative bacteria, being a potent toxic factor and playing an important role in the immune regulation and maintenance of chronic inflammation. LPS </w:t>
      </w:r>
      <w:r w:rsidR="008E721A" w:rsidRPr="00DC0382">
        <w:rPr>
          <w:rFonts w:eastAsiaTheme="minorEastAsia"/>
          <w:sz w:val="28"/>
          <w:szCs w:val="28"/>
          <w:lang w:val="en-US" w:eastAsia="zh-CN"/>
        </w:rPr>
        <w:t>perform adaptive function upon</w:t>
      </w:r>
      <w:r w:rsidRPr="00DC0382">
        <w:rPr>
          <w:rFonts w:eastAsiaTheme="minorEastAsia"/>
          <w:sz w:val="28"/>
          <w:szCs w:val="28"/>
          <w:lang w:val="en-US" w:eastAsia="zh-CN"/>
        </w:rPr>
        <w:t xml:space="preserve"> </w:t>
      </w:r>
      <w:r w:rsidR="008E721A" w:rsidRPr="00DC0382">
        <w:rPr>
          <w:rFonts w:eastAsiaTheme="minorEastAsia"/>
          <w:sz w:val="28"/>
          <w:szCs w:val="28"/>
          <w:lang w:val="en-US" w:eastAsia="zh-CN"/>
        </w:rPr>
        <w:t xml:space="preserve">concentrations </w:t>
      </w:r>
      <w:r w:rsidR="004B483B">
        <w:rPr>
          <w:rFonts w:eastAsiaTheme="minorEastAsia"/>
          <w:sz w:val="28"/>
          <w:szCs w:val="28"/>
          <w:lang w:val="en-US" w:eastAsia="zh-CN"/>
        </w:rPr>
        <w:t>of 0</w:t>
      </w:r>
      <w:proofErr w:type="gramStart"/>
      <w:r w:rsidR="004B483B" w:rsidRPr="004B483B">
        <w:rPr>
          <w:rFonts w:eastAsiaTheme="minorEastAsia"/>
          <w:sz w:val="28"/>
          <w:szCs w:val="28"/>
          <w:lang w:val="en-US" w:eastAsia="zh-CN"/>
        </w:rPr>
        <w:t>,</w:t>
      </w:r>
      <w:r w:rsidR="008E721A" w:rsidRPr="00DC0382">
        <w:rPr>
          <w:rFonts w:eastAsiaTheme="minorEastAsia"/>
          <w:sz w:val="28"/>
          <w:szCs w:val="28"/>
          <w:lang w:val="en-US" w:eastAsia="zh-CN"/>
        </w:rPr>
        <w:t>1</w:t>
      </w:r>
      <w:proofErr w:type="gramEnd"/>
      <w:r w:rsidR="006147EA">
        <w:rPr>
          <w:rFonts w:eastAsiaTheme="minorEastAsia"/>
          <w:sz w:val="28"/>
          <w:szCs w:val="28"/>
          <w:lang w:val="en-US" w:eastAsia="zh-CN"/>
        </w:rPr>
        <w:t>-</w:t>
      </w:r>
      <w:r w:rsidR="004B483B">
        <w:rPr>
          <w:rFonts w:eastAsiaTheme="minorEastAsia"/>
          <w:sz w:val="28"/>
          <w:szCs w:val="28"/>
          <w:lang w:val="en-US" w:eastAsia="zh-CN"/>
        </w:rPr>
        <w:t>1</w:t>
      </w:r>
      <w:r w:rsidR="004B483B" w:rsidRPr="004B483B">
        <w:rPr>
          <w:rFonts w:eastAsiaTheme="minorEastAsia"/>
          <w:sz w:val="28"/>
          <w:szCs w:val="28"/>
          <w:lang w:val="en-US" w:eastAsia="zh-CN"/>
        </w:rPr>
        <w:t>,</w:t>
      </w:r>
      <w:r w:rsidR="008E721A" w:rsidRPr="00DC0382">
        <w:rPr>
          <w:rFonts w:eastAsiaTheme="minorEastAsia"/>
          <w:sz w:val="28"/>
          <w:szCs w:val="28"/>
          <w:lang w:val="en-US" w:eastAsia="zh-CN"/>
        </w:rPr>
        <w:t>0 EU/</w:t>
      </w:r>
      <w:r w:rsidRPr="00DC0382">
        <w:rPr>
          <w:rFonts w:eastAsiaTheme="minorEastAsia"/>
          <w:sz w:val="28"/>
          <w:szCs w:val="28"/>
          <w:lang w:val="en-US" w:eastAsia="zh-CN"/>
        </w:rPr>
        <w:t xml:space="preserve">ml </w:t>
      </w:r>
      <w:r w:rsidR="008E721A" w:rsidRPr="00DC0382">
        <w:rPr>
          <w:rFonts w:eastAsiaTheme="minorEastAsia"/>
          <w:sz w:val="28"/>
          <w:szCs w:val="28"/>
          <w:lang w:val="en-US" w:eastAsia="zh-CN"/>
        </w:rPr>
        <w:t>in the blood serum</w:t>
      </w:r>
      <w:r w:rsidRPr="00DC0382">
        <w:rPr>
          <w:rFonts w:eastAsiaTheme="minorEastAsia"/>
          <w:sz w:val="28"/>
          <w:szCs w:val="28"/>
          <w:lang w:val="en-US" w:eastAsia="zh-CN"/>
        </w:rPr>
        <w:t xml:space="preserve">, whereas a higher level </w:t>
      </w:r>
      <w:r w:rsidR="008E721A" w:rsidRPr="00DC0382">
        <w:rPr>
          <w:rFonts w:eastAsiaTheme="minorEastAsia"/>
          <w:sz w:val="28"/>
          <w:szCs w:val="28"/>
          <w:lang w:val="en-US" w:eastAsia="zh-CN"/>
        </w:rPr>
        <w:t>leads to</w:t>
      </w:r>
      <w:r w:rsidRPr="00DC0382">
        <w:rPr>
          <w:rFonts w:eastAsiaTheme="minorEastAsia"/>
          <w:sz w:val="28"/>
          <w:szCs w:val="28"/>
          <w:lang w:val="en-US" w:eastAsia="zh-CN"/>
        </w:rPr>
        <w:t xml:space="preserve"> the development of various inflammatory reactions. </w:t>
      </w:r>
      <w:r w:rsidR="008E721A" w:rsidRPr="00DC0382">
        <w:rPr>
          <w:rFonts w:eastAsiaTheme="minorEastAsia"/>
          <w:sz w:val="28"/>
          <w:szCs w:val="28"/>
          <w:lang w:val="en-US" w:eastAsia="zh-CN"/>
        </w:rPr>
        <w:t>Upon massive entering blood flow, LPS are</w:t>
      </w:r>
      <w:r w:rsidRPr="00DC0382">
        <w:rPr>
          <w:rFonts w:eastAsiaTheme="minorEastAsia"/>
          <w:sz w:val="28"/>
          <w:szCs w:val="28"/>
          <w:lang w:val="en-US" w:eastAsia="zh-CN"/>
        </w:rPr>
        <w:t xml:space="preserve"> known </w:t>
      </w:r>
      <w:r w:rsidR="008E721A" w:rsidRPr="00DC0382">
        <w:rPr>
          <w:rFonts w:eastAsiaTheme="minorEastAsia"/>
          <w:sz w:val="28"/>
          <w:szCs w:val="28"/>
          <w:lang w:val="en-US" w:eastAsia="zh-CN"/>
        </w:rPr>
        <w:t>to be a</w:t>
      </w:r>
      <w:r w:rsidRPr="00DC0382">
        <w:rPr>
          <w:rFonts w:eastAsiaTheme="minorEastAsia"/>
          <w:sz w:val="28"/>
          <w:szCs w:val="28"/>
          <w:lang w:val="en-US" w:eastAsia="zh-CN"/>
        </w:rPr>
        <w:t xml:space="preserve"> general pathological </w:t>
      </w:r>
      <w:r w:rsidR="008E721A" w:rsidRPr="00DC0382">
        <w:rPr>
          <w:rFonts w:eastAsiaTheme="minorEastAsia"/>
          <w:sz w:val="28"/>
          <w:szCs w:val="28"/>
          <w:lang w:val="en-US" w:eastAsia="zh-CN"/>
        </w:rPr>
        <w:t xml:space="preserve">factor </w:t>
      </w:r>
      <w:r w:rsidRPr="00DC0382">
        <w:rPr>
          <w:rFonts w:eastAsiaTheme="minorEastAsia"/>
          <w:sz w:val="28"/>
          <w:szCs w:val="28"/>
          <w:lang w:val="en-US" w:eastAsia="zh-CN"/>
        </w:rPr>
        <w:t xml:space="preserve">inducing cascade </w:t>
      </w:r>
      <w:r w:rsidR="008E721A" w:rsidRPr="00DC0382">
        <w:rPr>
          <w:rFonts w:eastAsiaTheme="minorEastAsia"/>
          <w:sz w:val="28"/>
          <w:szCs w:val="28"/>
          <w:lang w:val="en-US" w:eastAsia="zh-CN"/>
        </w:rPr>
        <w:t xml:space="preserve">of reactions </w:t>
      </w:r>
      <w:r w:rsidRPr="00DC0382">
        <w:rPr>
          <w:rFonts w:eastAsiaTheme="minorEastAsia"/>
          <w:sz w:val="28"/>
          <w:szCs w:val="28"/>
          <w:lang w:val="en-US" w:eastAsia="zh-CN"/>
        </w:rPr>
        <w:t xml:space="preserve">and </w:t>
      </w:r>
      <w:r w:rsidR="008E721A" w:rsidRPr="00DC0382">
        <w:rPr>
          <w:rFonts w:eastAsiaTheme="minorEastAsia"/>
          <w:sz w:val="28"/>
          <w:szCs w:val="28"/>
          <w:lang w:val="en-US" w:eastAsia="zh-CN"/>
        </w:rPr>
        <w:t>various syndromes</w:t>
      </w:r>
      <w:r w:rsidRPr="00DC0382">
        <w:rPr>
          <w:rFonts w:eastAsiaTheme="minorEastAsia"/>
          <w:sz w:val="28"/>
          <w:szCs w:val="28"/>
          <w:lang w:val="en-US" w:eastAsia="zh-CN"/>
        </w:rPr>
        <w:t xml:space="preserve"> [</w:t>
      </w:r>
      <w:fldSimple w:instr=" REF _Ref381467201 \r \h  \* MERGEFORMAT ">
        <w:r w:rsidR="006D379E" w:rsidRPr="00DC0382">
          <w:rPr>
            <w:rFonts w:eastAsiaTheme="minorEastAsia"/>
            <w:sz w:val="28"/>
            <w:szCs w:val="28"/>
            <w:lang w:val="en-US" w:eastAsia="zh-CN"/>
          </w:rPr>
          <w:t>14</w:t>
        </w:r>
      </w:fldSimple>
      <w:r w:rsidRPr="00DC0382">
        <w:rPr>
          <w:rFonts w:eastAsiaTheme="minorEastAsia"/>
          <w:sz w:val="28"/>
          <w:szCs w:val="28"/>
          <w:lang w:val="en-US" w:eastAsia="zh-CN"/>
        </w:rPr>
        <w:t>]</w:t>
      </w:r>
      <w:r w:rsidR="008E721A" w:rsidRPr="00DC0382">
        <w:rPr>
          <w:rFonts w:eastAsiaTheme="minorEastAsia"/>
          <w:sz w:val="28"/>
          <w:szCs w:val="28"/>
          <w:lang w:val="en-US" w:eastAsia="zh-CN"/>
        </w:rPr>
        <w:t>.</w:t>
      </w:r>
      <w:r w:rsidRPr="00DC0382">
        <w:rPr>
          <w:rFonts w:eastAsiaTheme="minorEastAsia"/>
          <w:sz w:val="28"/>
          <w:szCs w:val="28"/>
          <w:lang w:val="en-US" w:eastAsia="zh-CN"/>
        </w:rPr>
        <w:t xml:space="preserve"> </w:t>
      </w:r>
      <w:r w:rsidR="008E721A" w:rsidRPr="00DC0382">
        <w:rPr>
          <w:rFonts w:eastAsiaTheme="minorEastAsia"/>
          <w:sz w:val="28"/>
          <w:szCs w:val="28"/>
          <w:lang w:val="en-US" w:eastAsia="zh-CN"/>
        </w:rPr>
        <w:t xml:space="preserve">LPS </w:t>
      </w:r>
      <w:r w:rsidRPr="00DC0382">
        <w:rPr>
          <w:rFonts w:eastAsiaTheme="minorEastAsia"/>
          <w:sz w:val="28"/>
          <w:szCs w:val="28"/>
          <w:lang w:val="en-US" w:eastAsia="zh-CN"/>
        </w:rPr>
        <w:t xml:space="preserve">biological activity </w:t>
      </w:r>
      <w:r w:rsidR="008E721A" w:rsidRPr="00DC0382">
        <w:rPr>
          <w:rFonts w:eastAsiaTheme="minorEastAsia"/>
          <w:sz w:val="28"/>
          <w:szCs w:val="28"/>
          <w:lang w:val="en-US" w:eastAsia="zh-CN"/>
        </w:rPr>
        <w:t xml:space="preserve">is </w:t>
      </w:r>
      <w:r w:rsidRPr="00DC0382">
        <w:rPr>
          <w:rFonts w:eastAsiaTheme="minorEastAsia"/>
          <w:sz w:val="28"/>
          <w:szCs w:val="28"/>
          <w:lang w:val="en-US" w:eastAsia="zh-CN"/>
        </w:rPr>
        <w:t xml:space="preserve">significantly neutralized </w:t>
      </w:r>
      <w:r w:rsidR="00627AC9" w:rsidRPr="00DC0382">
        <w:rPr>
          <w:rFonts w:eastAsiaTheme="minorEastAsia"/>
          <w:sz w:val="28"/>
          <w:szCs w:val="28"/>
          <w:lang w:val="en-US" w:eastAsia="zh-CN"/>
        </w:rPr>
        <w:t>due to the</w:t>
      </w:r>
      <w:r w:rsidRPr="00DC0382">
        <w:rPr>
          <w:rFonts w:eastAsiaTheme="minorEastAsia"/>
          <w:sz w:val="28"/>
          <w:szCs w:val="28"/>
          <w:lang w:val="en-US" w:eastAsia="zh-CN"/>
        </w:rPr>
        <w:t xml:space="preserve"> </w:t>
      </w:r>
      <w:proofErr w:type="spellStart"/>
      <w:r w:rsidRPr="00DC0382">
        <w:rPr>
          <w:rFonts w:eastAsiaTheme="minorEastAsia"/>
          <w:sz w:val="28"/>
          <w:szCs w:val="28"/>
          <w:lang w:val="en-US" w:eastAsia="zh-CN"/>
        </w:rPr>
        <w:t>humoral</w:t>
      </w:r>
      <w:proofErr w:type="spellEnd"/>
      <w:r w:rsidRPr="00DC0382">
        <w:rPr>
          <w:rFonts w:eastAsiaTheme="minorEastAsia"/>
          <w:sz w:val="28"/>
          <w:szCs w:val="28"/>
          <w:lang w:val="en-US" w:eastAsia="zh-CN"/>
        </w:rPr>
        <w:t xml:space="preserve"> and cellular </w:t>
      </w:r>
      <w:proofErr w:type="spellStart"/>
      <w:r w:rsidR="00627AC9" w:rsidRPr="00DC0382">
        <w:rPr>
          <w:rFonts w:eastAsiaTheme="minorEastAsia"/>
          <w:sz w:val="28"/>
          <w:szCs w:val="28"/>
          <w:lang w:val="en-US" w:eastAsia="zh-CN"/>
        </w:rPr>
        <w:t>antiendotoxin</w:t>
      </w:r>
      <w:proofErr w:type="spellEnd"/>
      <w:r w:rsidR="00627AC9" w:rsidRPr="00DC0382">
        <w:rPr>
          <w:rFonts w:eastAsiaTheme="minorEastAsia"/>
          <w:sz w:val="28"/>
          <w:szCs w:val="28"/>
          <w:lang w:val="en-US" w:eastAsia="zh-CN"/>
        </w:rPr>
        <w:t xml:space="preserve"> </w:t>
      </w:r>
      <w:r w:rsidRPr="00DC0382">
        <w:rPr>
          <w:rFonts w:eastAsiaTheme="minorEastAsia"/>
          <w:sz w:val="28"/>
          <w:szCs w:val="28"/>
          <w:lang w:val="en-US" w:eastAsia="zh-CN"/>
        </w:rPr>
        <w:t xml:space="preserve">systems. </w:t>
      </w:r>
      <w:r w:rsidR="00627AC9" w:rsidRPr="00DC0382">
        <w:rPr>
          <w:rFonts w:eastAsiaTheme="minorEastAsia"/>
          <w:sz w:val="28"/>
          <w:szCs w:val="28"/>
          <w:lang w:val="en-US" w:eastAsia="zh-CN"/>
        </w:rPr>
        <w:t xml:space="preserve">Upon their failure, </w:t>
      </w:r>
      <w:r w:rsidRPr="00DC0382">
        <w:rPr>
          <w:rFonts w:eastAsiaTheme="minorEastAsia"/>
          <w:sz w:val="28"/>
          <w:szCs w:val="28"/>
          <w:lang w:val="en-US" w:eastAsia="zh-CN"/>
        </w:rPr>
        <w:t xml:space="preserve">LPS </w:t>
      </w:r>
      <w:r w:rsidR="00627AC9" w:rsidRPr="00DC0382">
        <w:rPr>
          <w:rFonts w:eastAsiaTheme="minorEastAsia"/>
          <w:sz w:val="28"/>
          <w:szCs w:val="28"/>
          <w:lang w:val="en-US" w:eastAsia="zh-CN"/>
        </w:rPr>
        <w:t>enter</w:t>
      </w:r>
      <w:r w:rsidRPr="00DC0382">
        <w:rPr>
          <w:rFonts w:eastAsiaTheme="minorEastAsia"/>
          <w:sz w:val="28"/>
          <w:szCs w:val="28"/>
          <w:lang w:val="en-US" w:eastAsia="zh-CN"/>
        </w:rPr>
        <w:t xml:space="preserve"> the systemic </w:t>
      </w:r>
      <w:r w:rsidR="00627AC9" w:rsidRPr="00DC0382">
        <w:rPr>
          <w:rFonts w:eastAsiaTheme="minorEastAsia"/>
          <w:sz w:val="28"/>
          <w:szCs w:val="28"/>
          <w:lang w:val="en-US" w:eastAsia="zh-CN"/>
        </w:rPr>
        <w:t>blood flow</w:t>
      </w:r>
      <w:r w:rsidRPr="00DC0382">
        <w:rPr>
          <w:rFonts w:eastAsiaTheme="minorEastAsia"/>
          <w:sz w:val="28"/>
          <w:szCs w:val="28"/>
          <w:lang w:val="en-US" w:eastAsia="zh-CN"/>
        </w:rPr>
        <w:t xml:space="preserve">, where they form a complex with a specific protein </w:t>
      </w:r>
      <w:r w:rsidR="00627AC9" w:rsidRPr="00DC0382">
        <w:rPr>
          <w:rFonts w:eastAsiaTheme="minorEastAsia"/>
          <w:sz w:val="28"/>
          <w:szCs w:val="28"/>
          <w:lang w:val="en-US" w:eastAsia="zh-CN"/>
        </w:rPr>
        <w:t xml:space="preserve">binding </w:t>
      </w:r>
      <w:r w:rsidRPr="00DC0382">
        <w:rPr>
          <w:rFonts w:eastAsiaTheme="minorEastAsia"/>
          <w:sz w:val="28"/>
          <w:szCs w:val="28"/>
          <w:lang w:val="en-US" w:eastAsia="zh-CN"/>
        </w:rPr>
        <w:t xml:space="preserve">LPS </w:t>
      </w:r>
      <w:r w:rsidR="004B483B">
        <w:rPr>
          <w:rFonts w:eastAsiaTheme="minorEastAsia"/>
          <w:sz w:val="28"/>
          <w:szCs w:val="28"/>
          <w:lang w:val="en-US" w:eastAsia="zh-CN"/>
        </w:rPr>
        <w:t>–</w:t>
      </w:r>
      <w:r w:rsidRPr="00DC0382">
        <w:rPr>
          <w:rFonts w:eastAsiaTheme="minorEastAsia"/>
          <w:sz w:val="28"/>
          <w:szCs w:val="28"/>
          <w:lang w:val="en-US" w:eastAsia="zh-CN"/>
        </w:rPr>
        <w:t xml:space="preserve"> </w:t>
      </w:r>
      <w:proofErr w:type="spellStart"/>
      <w:r w:rsidR="00627AC9" w:rsidRPr="00DC0382">
        <w:rPr>
          <w:rFonts w:eastAsiaTheme="minorEastAsia"/>
          <w:sz w:val="28"/>
          <w:szCs w:val="28"/>
          <w:lang w:val="en-US" w:eastAsia="zh-CN"/>
        </w:rPr>
        <w:t>lipolysaccharide</w:t>
      </w:r>
      <w:proofErr w:type="spellEnd"/>
      <w:r w:rsidR="00627AC9" w:rsidRPr="00DC0382">
        <w:rPr>
          <w:rFonts w:eastAsiaTheme="minorEastAsia"/>
          <w:sz w:val="28"/>
          <w:szCs w:val="28"/>
          <w:lang w:val="en-US" w:eastAsia="zh-CN"/>
        </w:rPr>
        <w:t>-binding protein (LBP)</w:t>
      </w:r>
      <w:r w:rsidRPr="00DC0382">
        <w:rPr>
          <w:rFonts w:eastAsiaTheme="minorEastAsia"/>
          <w:sz w:val="28"/>
          <w:szCs w:val="28"/>
          <w:lang w:val="en-US" w:eastAsia="zh-CN"/>
        </w:rPr>
        <w:t xml:space="preserve">, which is </w:t>
      </w:r>
      <w:r w:rsidR="00627AC9" w:rsidRPr="00DC0382">
        <w:rPr>
          <w:rFonts w:eastAsiaTheme="minorEastAsia"/>
          <w:sz w:val="28"/>
          <w:szCs w:val="28"/>
          <w:lang w:val="en-US" w:eastAsia="zh-CN"/>
        </w:rPr>
        <w:t xml:space="preserve">a protein of the acute phase of </w:t>
      </w:r>
      <w:r w:rsidRPr="00DC0382">
        <w:rPr>
          <w:rFonts w:eastAsiaTheme="minorEastAsia"/>
          <w:sz w:val="28"/>
          <w:szCs w:val="28"/>
          <w:lang w:val="en-US" w:eastAsia="zh-CN"/>
        </w:rPr>
        <w:t>inflammation produced</w:t>
      </w:r>
      <w:r w:rsidR="00627AC9" w:rsidRPr="00DC0382">
        <w:rPr>
          <w:rFonts w:eastAsiaTheme="minorEastAsia"/>
          <w:sz w:val="28"/>
          <w:szCs w:val="28"/>
          <w:lang w:val="en-US" w:eastAsia="zh-CN"/>
        </w:rPr>
        <w:t xml:space="preserve"> by </w:t>
      </w:r>
      <w:proofErr w:type="spellStart"/>
      <w:r w:rsidR="00627AC9" w:rsidRPr="00DC0382">
        <w:rPr>
          <w:rFonts w:eastAsiaTheme="minorEastAsia"/>
          <w:sz w:val="28"/>
          <w:szCs w:val="28"/>
          <w:lang w:val="en-US" w:eastAsia="zh-CN"/>
        </w:rPr>
        <w:t>hepatocytes</w:t>
      </w:r>
      <w:proofErr w:type="spellEnd"/>
      <w:r w:rsidR="00627AC9" w:rsidRPr="00DC0382">
        <w:rPr>
          <w:rFonts w:eastAsiaTheme="minorEastAsia"/>
          <w:sz w:val="28"/>
          <w:szCs w:val="28"/>
          <w:lang w:val="en-US" w:eastAsia="zh-CN"/>
        </w:rPr>
        <w:t xml:space="preserve"> and </w:t>
      </w:r>
      <w:proofErr w:type="spellStart"/>
      <w:r w:rsidR="00627AC9" w:rsidRPr="00DC0382">
        <w:rPr>
          <w:rFonts w:eastAsiaTheme="minorEastAsia"/>
          <w:sz w:val="28"/>
          <w:szCs w:val="28"/>
          <w:lang w:val="en-US" w:eastAsia="zh-CN"/>
        </w:rPr>
        <w:t>enterocytes</w:t>
      </w:r>
      <w:proofErr w:type="spellEnd"/>
      <w:r w:rsidRPr="00DC0382">
        <w:rPr>
          <w:rFonts w:eastAsiaTheme="minorEastAsia"/>
          <w:sz w:val="28"/>
          <w:szCs w:val="28"/>
          <w:lang w:val="en-US" w:eastAsia="zh-CN"/>
        </w:rPr>
        <w:t>. LBP firmly binds LPS, puts them on CD14 recepto</w:t>
      </w:r>
      <w:r w:rsidR="00627AC9" w:rsidRPr="00DC0382">
        <w:rPr>
          <w:rFonts w:eastAsiaTheme="minorEastAsia"/>
          <w:sz w:val="28"/>
          <w:szCs w:val="28"/>
          <w:lang w:val="en-US" w:eastAsia="zh-CN"/>
        </w:rPr>
        <w:t>rs of mononuclear phagocytes</w:t>
      </w:r>
      <w:r w:rsidRPr="00DC0382">
        <w:rPr>
          <w:rFonts w:eastAsiaTheme="minorEastAsia"/>
          <w:sz w:val="28"/>
          <w:szCs w:val="28"/>
          <w:lang w:val="en-US" w:eastAsia="zh-CN"/>
        </w:rPr>
        <w:t xml:space="preserve">, </w:t>
      </w:r>
      <w:r w:rsidR="00627AC9" w:rsidRPr="00DC0382">
        <w:rPr>
          <w:rFonts w:eastAsiaTheme="minorEastAsia"/>
          <w:sz w:val="28"/>
          <w:szCs w:val="28"/>
          <w:lang w:val="en-US" w:eastAsia="zh-CN"/>
        </w:rPr>
        <w:t xml:space="preserve">thus </w:t>
      </w:r>
      <w:r w:rsidRPr="00DC0382">
        <w:rPr>
          <w:rFonts w:eastAsiaTheme="minorEastAsia"/>
          <w:sz w:val="28"/>
          <w:szCs w:val="28"/>
          <w:lang w:val="en-US" w:eastAsia="zh-CN"/>
        </w:rPr>
        <w:t xml:space="preserve">increasing the sensitivity of these cells to this factor </w:t>
      </w:r>
      <w:r w:rsidR="00627AC9" w:rsidRPr="00DC0382">
        <w:rPr>
          <w:rFonts w:eastAsiaTheme="minorEastAsia"/>
          <w:sz w:val="28"/>
          <w:szCs w:val="28"/>
          <w:lang w:val="en-US" w:eastAsia="zh-CN"/>
        </w:rPr>
        <w:t>of</w:t>
      </w:r>
      <w:r w:rsidRPr="00DC0382">
        <w:rPr>
          <w:rFonts w:eastAsiaTheme="minorEastAsia"/>
          <w:sz w:val="28"/>
          <w:szCs w:val="28"/>
          <w:lang w:val="en-US" w:eastAsia="zh-CN"/>
        </w:rPr>
        <w:t xml:space="preserve"> </w:t>
      </w:r>
      <w:proofErr w:type="spellStart"/>
      <w:r w:rsidRPr="00DC0382">
        <w:rPr>
          <w:rFonts w:eastAsiaTheme="minorEastAsia"/>
          <w:sz w:val="28"/>
          <w:szCs w:val="28"/>
          <w:lang w:val="en-US" w:eastAsia="zh-CN"/>
        </w:rPr>
        <w:t>pathogenicity</w:t>
      </w:r>
      <w:proofErr w:type="spellEnd"/>
      <w:r w:rsidRPr="00DC0382">
        <w:rPr>
          <w:rFonts w:eastAsiaTheme="minorEastAsia"/>
          <w:sz w:val="28"/>
          <w:szCs w:val="28"/>
          <w:lang w:val="en-US" w:eastAsia="zh-CN"/>
        </w:rPr>
        <w:t xml:space="preserve"> </w:t>
      </w:r>
      <w:r w:rsidR="00627AC9" w:rsidRPr="00DC0382">
        <w:rPr>
          <w:rFonts w:eastAsiaTheme="minorEastAsia"/>
          <w:sz w:val="28"/>
          <w:szCs w:val="28"/>
          <w:lang w:val="en-US" w:eastAsia="zh-CN"/>
        </w:rPr>
        <w:t>in</w:t>
      </w:r>
      <w:r w:rsidRPr="00DC0382">
        <w:rPr>
          <w:rFonts w:eastAsiaTheme="minorEastAsia"/>
          <w:sz w:val="28"/>
          <w:szCs w:val="28"/>
          <w:lang w:val="en-US" w:eastAsia="zh-CN"/>
        </w:rPr>
        <w:t xml:space="preserve"> 100</w:t>
      </w:r>
      <w:r w:rsidR="004B483B" w:rsidRPr="004B483B">
        <w:rPr>
          <w:rFonts w:eastAsiaTheme="minorEastAsia"/>
          <w:sz w:val="28"/>
          <w:szCs w:val="28"/>
          <w:lang w:val="en-US" w:eastAsia="zh-CN"/>
        </w:rPr>
        <w:t>-</w:t>
      </w:r>
      <w:r w:rsidRPr="00DC0382">
        <w:rPr>
          <w:rFonts w:eastAsiaTheme="minorEastAsia"/>
          <w:sz w:val="28"/>
          <w:szCs w:val="28"/>
          <w:lang w:val="en-US" w:eastAsia="zh-CN"/>
        </w:rPr>
        <w:t>1000</w:t>
      </w:r>
      <w:r w:rsidR="00627AC9" w:rsidRPr="00DC0382">
        <w:rPr>
          <w:rFonts w:eastAsiaTheme="minorEastAsia"/>
          <w:sz w:val="28"/>
          <w:szCs w:val="28"/>
          <w:lang w:val="en-US" w:eastAsia="zh-CN"/>
        </w:rPr>
        <w:t xml:space="preserve"> times</w:t>
      </w:r>
      <w:r w:rsidRPr="00DC0382">
        <w:rPr>
          <w:rFonts w:eastAsiaTheme="minorEastAsia"/>
          <w:sz w:val="28"/>
          <w:szCs w:val="28"/>
          <w:lang w:val="en-US" w:eastAsia="zh-CN"/>
        </w:rPr>
        <w:t>. Mediators secr</w:t>
      </w:r>
      <w:r w:rsidR="00627AC9" w:rsidRPr="00DC0382">
        <w:rPr>
          <w:rFonts w:eastAsiaTheme="minorEastAsia"/>
          <w:sz w:val="28"/>
          <w:szCs w:val="28"/>
          <w:lang w:val="en-US" w:eastAsia="zh-CN"/>
        </w:rPr>
        <w:t xml:space="preserve">eted by them have local effect </w:t>
      </w:r>
      <w:r w:rsidRPr="00DC0382">
        <w:rPr>
          <w:rFonts w:eastAsiaTheme="minorEastAsia"/>
          <w:sz w:val="28"/>
          <w:szCs w:val="28"/>
          <w:lang w:val="en-US" w:eastAsia="zh-CN"/>
        </w:rPr>
        <w:t xml:space="preserve">or </w:t>
      </w:r>
      <w:r w:rsidRPr="00DC0382">
        <w:rPr>
          <w:rFonts w:eastAsiaTheme="minorEastAsia"/>
          <w:sz w:val="28"/>
          <w:szCs w:val="28"/>
          <w:lang w:val="en-US" w:eastAsia="zh-CN"/>
        </w:rPr>
        <w:lastRenderedPageBreak/>
        <w:t xml:space="preserve">cause a cascade of response systemic </w:t>
      </w:r>
      <w:r w:rsidR="00FC7F57" w:rsidRPr="00DC0382">
        <w:rPr>
          <w:rFonts w:eastAsiaTheme="minorEastAsia"/>
          <w:sz w:val="28"/>
          <w:szCs w:val="28"/>
          <w:lang w:val="en-US" w:eastAsia="zh-CN"/>
        </w:rPr>
        <w:t xml:space="preserve">pathological </w:t>
      </w:r>
      <w:r w:rsidRPr="00DC0382">
        <w:rPr>
          <w:rFonts w:eastAsiaTheme="minorEastAsia"/>
          <w:sz w:val="28"/>
          <w:szCs w:val="28"/>
          <w:lang w:val="en-US" w:eastAsia="zh-CN"/>
        </w:rPr>
        <w:t xml:space="preserve">reactions </w:t>
      </w:r>
      <w:r w:rsidR="00FC7F57" w:rsidRPr="00DC0382">
        <w:rPr>
          <w:rFonts w:eastAsiaTheme="minorEastAsia"/>
          <w:sz w:val="28"/>
          <w:szCs w:val="28"/>
          <w:lang w:val="en-US" w:eastAsia="zh-CN"/>
        </w:rPr>
        <w:t>with</w:t>
      </w:r>
      <w:r w:rsidRPr="00DC0382">
        <w:rPr>
          <w:rFonts w:eastAsiaTheme="minorEastAsia"/>
          <w:sz w:val="28"/>
          <w:szCs w:val="28"/>
          <w:lang w:val="en-US" w:eastAsia="zh-CN"/>
        </w:rPr>
        <w:t xml:space="preserve"> the d</w:t>
      </w:r>
      <w:r w:rsidR="00FC7F57" w:rsidRPr="00DC0382">
        <w:rPr>
          <w:rFonts w:eastAsiaTheme="minorEastAsia"/>
          <w:sz w:val="28"/>
          <w:szCs w:val="28"/>
          <w:lang w:val="en-US" w:eastAsia="zh-CN"/>
        </w:rPr>
        <w:t>evelopment of cellular hypoxia</w:t>
      </w:r>
      <w:r w:rsidRPr="00DC0382">
        <w:rPr>
          <w:rFonts w:eastAsiaTheme="minorEastAsia"/>
          <w:sz w:val="28"/>
          <w:szCs w:val="28"/>
          <w:lang w:val="en-US" w:eastAsia="zh-CN"/>
        </w:rPr>
        <w:t>, impaired metabolic processes and stimulat</w:t>
      </w:r>
      <w:r w:rsidR="00FC7F57" w:rsidRPr="00DC0382">
        <w:rPr>
          <w:rFonts w:eastAsiaTheme="minorEastAsia"/>
          <w:sz w:val="28"/>
          <w:szCs w:val="28"/>
          <w:lang w:val="en-US" w:eastAsia="zh-CN"/>
        </w:rPr>
        <w:t>ion of inflammatory processes [</w:t>
      </w:r>
      <w:fldSimple w:instr=" REF _Ref381469271 \r \h  \* MERGEFORMAT ">
        <w:r w:rsidR="006D379E" w:rsidRPr="00DC0382">
          <w:rPr>
            <w:rFonts w:eastAsiaTheme="minorEastAsia"/>
            <w:sz w:val="28"/>
            <w:szCs w:val="28"/>
            <w:lang w:val="en-US" w:eastAsia="zh-CN"/>
          </w:rPr>
          <w:t>18</w:t>
        </w:r>
      </w:fldSimple>
      <w:r w:rsidR="00FC7F57" w:rsidRPr="00DC0382">
        <w:rPr>
          <w:rFonts w:eastAsiaTheme="minorEastAsia"/>
          <w:sz w:val="28"/>
          <w:szCs w:val="28"/>
          <w:lang w:val="en-US" w:eastAsia="zh-CN"/>
        </w:rPr>
        <w:t xml:space="preserve">, </w:t>
      </w:r>
      <w:fldSimple w:instr=" REF _Ref381469273 \r \h  \* MERGEFORMAT ">
        <w:r w:rsidR="006D379E" w:rsidRPr="00DC0382">
          <w:rPr>
            <w:rFonts w:eastAsiaTheme="minorEastAsia"/>
            <w:sz w:val="28"/>
            <w:szCs w:val="28"/>
            <w:lang w:val="en-US" w:eastAsia="zh-CN"/>
          </w:rPr>
          <w:t>19</w:t>
        </w:r>
      </w:fldSimple>
      <w:r w:rsidR="00FC7F57" w:rsidRPr="00DC0382">
        <w:rPr>
          <w:rFonts w:eastAsiaTheme="minorEastAsia"/>
          <w:sz w:val="28"/>
          <w:szCs w:val="28"/>
          <w:lang w:val="en-US" w:eastAsia="zh-CN"/>
        </w:rPr>
        <w:t>]</w:t>
      </w:r>
      <w:r w:rsidRPr="00DC0382">
        <w:rPr>
          <w:rFonts w:eastAsiaTheme="minorEastAsia"/>
          <w:sz w:val="28"/>
          <w:szCs w:val="28"/>
          <w:lang w:val="en-US" w:eastAsia="zh-CN"/>
        </w:rPr>
        <w:t>.</w:t>
      </w:r>
    </w:p>
    <w:p w:rsidR="00F80EE2" w:rsidRPr="00DC0382" w:rsidRDefault="00F80EE2" w:rsidP="00BC7970">
      <w:pPr>
        <w:spacing w:after="0" w:line="360" w:lineRule="auto"/>
        <w:ind w:firstLine="709"/>
        <w:jc w:val="both"/>
        <w:rPr>
          <w:rFonts w:eastAsiaTheme="minorEastAsia"/>
          <w:sz w:val="28"/>
          <w:szCs w:val="28"/>
          <w:lang w:val="en-US" w:eastAsia="zh-CN"/>
        </w:rPr>
      </w:pPr>
      <w:r w:rsidRPr="00DC0382">
        <w:rPr>
          <w:rFonts w:eastAsiaTheme="minorEastAsia"/>
          <w:sz w:val="28"/>
          <w:szCs w:val="28"/>
          <w:lang w:val="en-US" w:eastAsia="zh-CN"/>
        </w:rPr>
        <w:t xml:space="preserve">Small amount of research on the influence of systemic </w:t>
      </w:r>
      <w:proofErr w:type="spellStart"/>
      <w:r w:rsidRPr="00DC0382">
        <w:rPr>
          <w:rFonts w:eastAsiaTheme="minorEastAsia"/>
          <w:sz w:val="28"/>
          <w:szCs w:val="28"/>
          <w:lang w:val="en-US" w:eastAsia="zh-CN"/>
        </w:rPr>
        <w:t>endotoxinemia</w:t>
      </w:r>
      <w:proofErr w:type="spellEnd"/>
      <w:r w:rsidRPr="00DC0382">
        <w:rPr>
          <w:rFonts w:eastAsiaTheme="minorEastAsia"/>
          <w:sz w:val="28"/>
          <w:szCs w:val="28"/>
          <w:lang w:val="en-US" w:eastAsia="zh-CN"/>
        </w:rPr>
        <w:t xml:space="preserve"> and state of </w:t>
      </w:r>
      <w:proofErr w:type="spellStart"/>
      <w:r w:rsidRPr="00DC0382">
        <w:rPr>
          <w:rFonts w:eastAsiaTheme="minorEastAsia"/>
          <w:sz w:val="28"/>
          <w:szCs w:val="28"/>
          <w:lang w:val="en-US" w:eastAsia="zh-CN"/>
        </w:rPr>
        <w:t>antiendotoxin</w:t>
      </w:r>
      <w:proofErr w:type="spellEnd"/>
      <w:r w:rsidRPr="00DC0382">
        <w:rPr>
          <w:rFonts w:eastAsiaTheme="minorEastAsia"/>
          <w:sz w:val="28"/>
          <w:szCs w:val="28"/>
          <w:lang w:val="en-US" w:eastAsia="zh-CN"/>
        </w:rPr>
        <w:t xml:space="preserve"> immunity on the CGDP course in children infected with the different H</w:t>
      </w:r>
      <w:r w:rsidR="002D2A1B" w:rsidRPr="00DC0382">
        <w:rPr>
          <w:rFonts w:eastAsiaTheme="minorEastAsia"/>
          <w:sz w:val="28"/>
          <w:szCs w:val="28"/>
          <w:lang w:val="en-US" w:eastAsia="zh-CN"/>
        </w:rPr>
        <w:t>p</w:t>
      </w:r>
      <w:r w:rsidRPr="00DC0382">
        <w:rPr>
          <w:rFonts w:eastAsiaTheme="minorEastAsia"/>
          <w:sz w:val="28"/>
          <w:szCs w:val="28"/>
          <w:lang w:val="en-US" w:eastAsia="zh-CN"/>
        </w:rPr>
        <w:t xml:space="preserve"> strains determines the relevance of the present study.</w:t>
      </w:r>
    </w:p>
    <w:p w:rsidR="002D2A1B" w:rsidRPr="00DC0382" w:rsidRDefault="00F80EE2" w:rsidP="00BC7970">
      <w:pPr>
        <w:spacing w:after="0" w:line="360" w:lineRule="auto"/>
        <w:ind w:firstLine="709"/>
        <w:jc w:val="both"/>
        <w:rPr>
          <w:rFonts w:eastAsiaTheme="minorEastAsia"/>
          <w:sz w:val="28"/>
          <w:szCs w:val="28"/>
          <w:lang w:val="en-US" w:eastAsia="zh-CN"/>
        </w:rPr>
      </w:pPr>
      <w:r w:rsidRPr="00DC0382">
        <w:rPr>
          <w:rFonts w:eastAsiaTheme="minorEastAsia"/>
          <w:b/>
          <w:sz w:val="28"/>
          <w:szCs w:val="28"/>
          <w:lang w:val="en-US" w:eastAsia="zh-CN"/>
        </w:rPr>
        <w:t>Aim of research</w:t>
      </w:r>
      <w:r w:rsidR="00BC7970" w:rsidRPr="00DC0382">
        <w:rPr>
          <w:rFonts w:eastAsiaTheme="minorEastAsia"/>
          <w:sz w:val="28"/>
          <w:szCs w:val="28"/>
          <w:lang w:val="en-US" w:eastAsia="zh-CN"/>
        </w:rPr>
        <w:t xml:space="preserve"> </w:t>
      </w:r>
      <w:r w:rsidRPr="00DC0382">
        <w:rPr>
          <w:rFonts w:eastAsiaTheme="minorEastAsia"/>
          <w:sz w:val="28"/>
          <w:szCs w:val="28"/>
          <w:lang w:val="en-US" w:eastAsia="zh-CN"/>
        </w:rPr>
        <w:t>is</w:t>
      </w:r>
      <w:r w:rsidR="00340952" w:rsidRPr="00DC0382">
        <w:rPr>
          <w:rFonts w:eastAsiaTheme="minorEastAsia"/>
          <w:sz w:val="28"/>
          <w:szCs w:val="28"/>
          <w:lang w:val="en-US" w:eastAsia="zh-CN"/>
        </w:rPr>
        <w:t xml:space="preserve"> </w:t>
      </w:r>
      <w:r w:rsidR="002D2A1B" w:rsidRPr="00DC0382">
        <w:rPr>
          <w:rFonts w:eastAsiaTheme="minorEastAsia"/>
          <w:sz w:val="28"/>
          <w:szCs w:val="28"/>
          <w:lang w:val="en-US" w:eastAsia="zh-CN"/>
        </w:rPr>
        <w:t xml:space="preserve">to study the indices of systemic </w:t>
      </w:r>
      <w:proofErr w:type="spellStart"/>
      <w:r w:rsidR="002D2A1B" w:rsidRPr="00DC0382">
        <w:rPr>
          <w:rFonts w:eastAsiaTheme="minorEastAsia"/>
          <w:sz w:val="28"/>
          <w:szCs w:val="28"/>
          <w:lang w:val="en-US" w:eastAsia="zh-CN"/>
        </w:rPr>
        <w:t>endotoxinemia</w:t>
      </w:r>
      <w:proofErr w:type="spellEnd"/>
      <w:r w:rsidR="002D2A1B" w:rsidRPr="00DC0382">
        <w:rPr>
          <w:rFonts w:eastAsiaTheme="minorEastAsia"/>
          <w:sz w:val="28"/>
          <w:szCs w:val="28"/>
          <w:lang w:val="en-US" w:eastAsia="zh-CN"/>
        </w:rPr>
        <w:t xml:space="preserve"> and state of </w:t>
      </w:r>
      <w:proofErr w:type="spellStart"/>
      <w:r w:rsidR="002D2A1B" w:rsidRPr="00DC0382">
        <w:rPr>
          <w:rFonts w:eastAsiaTheme="minorEastAsia"/>
          <w:sz w:val="28"/>
          <w:szCs w:val="28"/>
          <w:lang w:val="en-US" w:eastAsia="zh-CN"/>
        </w:rPr>
        <w:t>humoral</w:t>
      </w:r>
      <w:proofErr w:type="spellEnd"/>
      <w:r w:rsidR="002D2A1B" w:rsidRPr="00DC0382">
        <w:rPr>
          <w:rFonts w:eastAsiaTheme="minorEastAsia"/>
          <w:sz w:val="28"/>
          <w:szCs w:val="28"/>
          <w:lang w:val="en-US" w:eastAsia="zh-CN"/>
        </w:rPr>
        <w:t xml:space="preserve"> </w:t>
      </w:r>
      <w:proofErr w:type="spellStart"/>
      <w:r w:rsidR="002D2A1B" w:rsidRPr="00DC0382">
        <w:rPr>
          <w:rFonts w:eastAsiaTheme="minorEastAsia"/>
          <w:sz w:val="28"/>
          <w:szCs w:val="28"/>
          <w:lang w:val="en-US" w:eastAsia="zh-CN"/>
        </w:rPr>
        <w:t>antiendotoxin</w:t>
      </w:r>
      <w:proofErr w:type="spellEnd"/>
      <w:r w:rsidR="002D2A1B" w:rsidRPr="00DC0382">
        <w:rPr>
          <w:rFonts w:eastAsiaTheme="minorEastAsia"/>
          <w:sz w:val="28"/>
          <w:szCs w:val="28"/>
          <w:lang w:val="en-US" w:eastAsia="zh-CN"/>
        </w:rPr>
        <w:t xml:space="preserve"> immunity in children with erosive and ulcerative changes in duodenal mucosa infected with different Hp strains.</w:t>
      </w:r>
    </w:p>
    <w:p w:rsidR="006E4624" w:rsidRPr="00DC0382" w:rsidRDefault="001C51C8" w:rsidP="00BC7970">
      <w:pPr>
        <w:spacing w:after="0" w:line="360" w:lineRule="auto"/>
        <w:ind w:firstLine="709"/>
        <w:jc w:val="both"/>
        <w:rPr>
          <w:rFonts w:eastAsiaTheme="minorEastAsia"/>
          <w:sz w:val="28"/>
          <w:szCs w:val="28"/>
          <w:lang w:val="en-US" w:eastAsia="zh-CN"/>
        </w:rPr>
      </w:pPr>
      <w:proofErr w:type="gramStart"/>
      <w:r w:rsidRPr="00DC0382">
        <w:rPr>
          <w:rFonts w:eastAsiaTheme="minorEastAsia"/>
          <w:b/>
          <w:sz w:val="28"/>
          <w:szCs w:val="28"/>
          <w:lang w:val="en-US" w:eastAsia="zh-CN"/>
        </w:rPr>
        <w:t>Materials and methods</w:t>
      </w:r>
      <w:r w:rsidR="00BC7970" w:rsidRPr="00DC0382">
        <w:rPr>
          <w:rFonts w:eastAsiaTheme="minorEastAsia"/>
          <w:b/>
          <w:sz w:val="28"/>
          <w:szCs w:val="28"/>
          <w:lang w:val="en-US" w:eastAsia="zh-CN"/>
        </w:rPr>
        <w:t>.</w:t>
      </w:r>
      <w:proofErr w:type="gramEnd"/>
      <w:r w:rsidR="00BC7970" w:rsidRPr="00DC0382">
        <w:rPr>
          <w:rFonts w:eastAsiaTheme="minorEastAsia"/>
          <w:b/>
          <w:sz w:val="28"/>
          <w:szCs w:val="28"/>
          <w:lang w:val="en-US" w:eastAsia="zh-CN"/>
        </w:rPr>
        <w:t xml:space="preserve"> </w:t>
      </w:r>
      <w:r w:rsidR="006E4624" w:rsidRPr="00DC0382">
        <w:rPr>
          <w:rFonts w:eastAsiaTheme="minorEastAsia"/>
          <w:sz w:val="28"/>
          <w:szCs w:val="28"/>
          <w:lang w:val="en-US" w:eastAsia="zh-CN"/>
        </w:rPr>
        <w:t xml:space="preserve">On the basis of the Donetsk city children’s clinical hospital № 1, 60 children aged </w:t>
      </w:r>
      <w:r w:rsidRPr="00DC0382">
        <w:rPr>
          <w:rFonts w:eastAsiaTheme="minorEastAsia"/>
          <w:sz w:val="28"/>
          <w:szCs w:val="28"/>
          <w:lang w:val="en-US" w:eastAsia="zh-CN"/>
        </w:rPr>
        <w:t xml:space="preserve">from </w:t>
      </w:r>
      <w:r w:rsidR="006E4624" w:rsidRPr="00DC0382">
        <w:rPr>
          <w:rFonts w:eastAsiaTheme="minorEastAsia"/>
          <w:sz w:val="28"/>
          <w:szCs w:val="28"/>
          <w:lang w:val="en-US" w:eastAsia="zh-CN"/>
        </w:rPr>
        <w:t>14 to 17 with erosive and ulcerative changes in the duoden</w:t>
      </w:r>
      <w:r w:rsidR="00F031C1" w:rsidRPr="00DC0382">
        <w:rPr>
          <w:rFonts w:eastAsiaTheme="minorEastAsia"/>
          <w:sz w:val="28"/>
          <w:szCs w:val="28"/>
          <w:lang w:val="en-US" w:eastAsia="zh-CN"/>
        </w:rPr>
        <w:t>al mucosa</w:t>
      </w:r>
      <w:r w:rsidR="006E4624" w:rsidRPr="00DC0382">
        <w:rPr>
          <w:rFonts w:eastAsiaTheme="minorEastAsia"/>
          <w:sz w:val="28"/>
          <w:szCs w:val="28"/>
          <w:lang w:val="en-US" w:eastAsia="zh-CN"/>
        </w:rPr>
        <w:t xml:space="preserve"> associated with </w:t>
      </w:r>
      <w:r w:rsidR="00F031C1" w:rsidRPr="00DC0382">
        <w:rPr>
          <w:rFonts w:eastAsiaTheme="minorEastAsia"/>
          <w:sz w:val="28"/>
          <w:szCs w:val="28"/>
          <w:lang w:val="en-US" w:eastAsia="zh-CN"/>
        </w:rPr>
        <w:t>Hp were</w:t>
      </w:r>
      <w:r w:rsidR="006E4624" w:rsidRPr="00DC0382">
        <w:rPr>
          <w:rFonts w:eastAsiaTheme="minorEastAsia"/>
          <w:sz w:val="28"/>
          <w:szCs w:val="28"/>
          <w:lang w:val="en-US" w:eastAsia="zh-CN"/>
        </w:rPr>
        <w:t xml:space="preserve"> examined: 20 patients with </w:t>
      </w:r>
      <w:r w:rsidR="00F031C1" w:rsidRPr="00DC0382">
        <w:rPr>
          <w:rFonts w:eastAsiaTheme="minorEastAsia"/>
          <w:sz w:val="28"/>
          <w:szCs w:val="28"/>
          <w:lang w:val="en-US" w:eastAsia="zh-CN"/>
        </w:rPr>
        <w:t xml:space="preserve">duodenal </w:t>
      </w:r>
      <w:r w:rsidR="006E4624" w:rsidRPr="00DC0382">
        <w:rPr>
          <w:rFonts w:eastAsiaTheme="minorEastAsia"/>
          <w:sz w:val="28"/>
          <w:szCs w:val="28"/>
          <w:lang w:val="en-US" w:eastAsia="zh-CN"/>
        </w:rPr>
        <w:t xml:space="preserve">peptic ulcer </w:t>
      </w:r>
      <w:r w:rsidR="00AD295E" w:rsidRPr="00DC0382">
        <w:rPr>
          <w:rFonts w:eastAsiaTheme="minorEastAsia"/>
          <w:sz w:val="28"/>
          <w:szCs w:val="28"/>
          <w:lang w:val="en-US" w:eastAsia="zh-CN"/>
        </w:rPr>
        <w:t xml:space="preserve">disease </w:t>
      </w:r>
      <w:r w:rsidR="00D9546A" w:rsidRPr="00DC0382">
        <w:rPr>
          <w:rFonts w:eastAsiaTheme="minorEastAsia"/>
          <w:sz w:val="28"/>
          <w:szCs w:val="28"/>
          <w:lang w:val="en-US" w:eastAsia="zh-CN"/>
        </w:rPr>
        <w:t xml:space="preserve">(UD) </w:t>
      </w:r>
      <w:r w:rsidR="00F031C1" w:rsidRPr="00DC0382">
        <w:rPr>
          <w:rFonts w:eastAsiaTheme="minorEastAsia"/>
          <w:sz w:val="28"/>
          <w:szCs w:val="28"/>
          <w:lang w:val="en-US" w:eastAsia="zh-CN"/>
        </w:rPr>
        <w:t xml:space="preserve">and </w:t>
      </w:r>
      <w:r w:rsidR="006E4624" w:rsidRPr="00DC0382">
        <w:rPr>
          <w:rFonts w:eastAsiaTheme="minorEastAsia"/>
          <w:sz w:val="28"/>
          <w:szCs w:val="28"/>
          <w:lang w:val="en-US" w:eastAsia="zh-CN"/>
        </w:rPr>
        <w:t xml:space="preserve">40 </w:t>
      </w:r>
      <w:r w:rsidR="004B483B">
        <w:rPr>
          <w:rFonts w:eastAsiaTheme="minorEastAsia"/>
          <w:sz w:val="28"/>
          <w:szCs w:val="28"/>
          <w:lang w:val="en-US" w:eastAsia="zh-CN"/>
        </w:rPr>
        <w:t>–</w:t>
      </w:r>
      <w:r w:rsidR="006E4624" w:rsidRPr="00DC0382">
        <w:rPr>
          <w:rFonts w:eastAsiaTheme="minorEastAsia"/>
          <w:sz w:val="28"/>
          <w:szCs w:val="28"/>
          <w:lang w:val="en-US" w:eastAsia="zh-CN"/>
        </w:rPr>
        <w:t xml:space="preserve"> </w:t>
      </w:r>
      <w:r w:rsidR="00F031C1" w:rsidRPr="00DC0382">
        <w:rPr>
          <w:rFonts w:eastAsiaTheme="minorEastAsia"/>
          <w:sz w:val="28"/>
          <w:szCs w:val="28"/>
          <w:lang w:val="en-US" w:eastAsia="zh-CN"/>
        </w:rPr>
        <w:t xml:space="preserve">with </w:t>
      </w:r>
      <w:r w:rsidR="006E4624" w:rsidRPr="00DC0382">
        <w:rPr>
          <w:rFonts w:eastAsiaTheme="minorEastAsia"/>
          <w:sz w:val="28"/>
          <w:szCs w:val="28"/>
          <w:lang w:val="en-US" w:eastAsia="zh-CN"/>
        </w:rPr>
        <w:t xml:space="preserve">erosive </w:t>
      </w:r>
      <w:proofErr w:type="spellStart"/>
      <w:r w:rsidR="006E4624" w:rsidRPr="00DC0382">
        <w:rPr>
          <w:rFonts w:eastAsiaTheme="minorEastAsia"/>
          <w:sz w:val="28"/>
          <w:szCs w:val="28"/>
          <w:lang w:val="en-US" w:eastAsia="zh-CN"/>
        </w:rPr>
        <w:t>bulbitis</w:t>
      </w:r>
      <w:proofErr w:type="spellEnd"/>
      <w:r w:rsidR="00D9546A" w:rsidRPr="00DC0382">
        <w:rPr>
          <w:rFonts w:eastAsiaTheme="minorEastAsia"/>
          <w:sz w:val="28"/>
          <w:szCs w:val="28"/>
          <w:lang w:val="en-US" w:eastAsia="zh-CN"/>
        </w:rPr>
        <w:t xml:space="preserve"> (EB)</w:t>
      </w:r>
      <w:r w:rsidR="006E4624" w:rsidRPr="00DC0382">
        <w:rPr>
          <w:rFonts w:eastAsiaTheme="minorEastAsia"/>
          <w:sz w:val="28"/>
          <w:szCs w:val="28"/>
          <w:lang w:val="en-US" w:eastAsia="zh-CN"/>
        </w:rPr>
        <w:t xml:space="preserve">. </w:t>
      </w:r>
      <w:r w:rsidRPr="00DC0382">
        <w:rPr>
          <w:rFonts w:eastAsiaTheme="minorEastAsia"/>
          <w:sz w:val="28"/>
          <w:szCs w:val="28"/>
          <w:lang w:val="en-US" w:eastAsia="zh-CN"/>
        </w:rPr>
        <w:t>In order to confirm the diagnosis</w:t>
      </w:r>
      <w:r w:rsidR="00BB4897">
        <w:rPr>
          <w:rFonts w:eastAsiaTheme="minorEastAsia"/>
          <w:sz w:val="28"/>
          <w:szCs w:val="28"/>
          <w:lang w:val="en-US" w:eastAsia="zh-CN"/>
        </w:rPr>
        <w:t>,</w:t>
      </w:r>
      <w:r w:rsidR="006E4624" w:rsidRPr="00DC0382">
        <w:rPr>
          <w:rFonts w:eastAsiaTheme="minorEastAsia"/>
          <w:sz w:val="28"/>
          <w:szCs w:val="28"/>
          <w:lang w:val="en-US" w:eastAsia="zh-CN"/>
        </w:rPr>
        <w:t xml:space="preserve"> all </w:t>
      </w:r>
      <w:r w:rsidR="00BB4897">
        <w:rPr>
          <w:rFonts w:eastAsiaTheme="minorEastAsia"/>
          <w:sz w:val="28"/>
          <w:szCs w:val="28"/>
          <w:lang w:val="en-US" w:eastAsia="zh-CN"/>
        </w:rPr>
        <w:t xml:space="preserve">the </w:t>
      </w:r>
      <w:r w:rsidR="006E4624" w:rsidRPr="00DC0382">
        <w:rPr>
          <w:rFonts w:eastAsiaTheme="minorEastAsia"/>
          <w:sz w:val="28"/>
          <w:szCs w:val="28"/>
          <w:lang w:val="en-US" w:eastAsia="zh-CN"/>
        </w:rPr>
        <w:t xml:space="preserve">children underwent </w:t>
      </w:r>
      <w:r w:rsidRPr="00DC0382">
        <w:rPr>
          <w:rFonts w:eastAsiaTheme="minorEastAsia"/>
          <w:sz w:val="28"/>
          <w:szCs w:val="28"/>
          <w:lang w:val="en-US" w:eastAsia="zh-CN"/>
        </w:rPr>
        <w:t xml:space="preserve">gastric and duodenal </w:t>
      </w:r>
      <w:r w:rsidR="006E4624" w:rsidRPr="00DC0382">
        <w:rPr>
          <w:rFonts w:eastAsiaTheme="minorEastAsia"/>
          <w:sz w:val="28"/>
          <w:szCs w:val="28"/>
          <w:lang w:val="en-US" w:eastAsia="zh-CN"/>
        </w:rPr>
        <w:t xml:space="preserve">endoscopy </w:t>
      </w:r>
      <w:r w:rsidRPr="00DC0382">
        <w:rPr>
          <w:rFonts w:eastAsiaTheme="minorEastAsia"/>
          <w:sz w:val="28"/>
          <w:szCs w:val="28"/>
          <w:lang w:val="en-US" w:eastAsia="zh-CN"/>
        </w:rPr>
        <w:t>with</w:t>
      </w:r>
      <w:r w:rsidR="006E4624" w:rsidRPr="00DC0382">
        <w:rPr>
          <w:rFonts w:eastAsiaTheme="minorEastAsia"/>
          <w:sz w:val="28"/>
          <w:szCs w:val="28"/>
          <w:lang w:val="en-US" w:eastAsia="zh-CN"/>
        </w:rPr>
        <w:t xml:space="preserve"> </w:t>
      </w:r>
      <w:r w:rsidR="00BB4897">
        <w:rPr>
          <w:rFonts w:eastAsiaTheme="minorEastAsia"/>
          <w:sz w:val="28"/>
          <w:szCs w:val="28"/>
          <w:lang w:val="en-US" w:eastAsia="zh-CN"/>
        </w:rPr>
        <w:t xml:space="preserve">a </w:t>
      </w:r>
      <w:r w:rsidR="006E4624" w:rsidRPr="00DC0382">
        <w:rPr>
          <w:rFonts w:eastAsiaTheme="minorEastAsia"/>
          <w:sz w:val="28"/>
          <w:szCs w:val="28"/>
          <w:lang w:val="en-US" w:eastAsia="zh-CN"/>
        </w:rPr>
        <w:t xml:space="preserve">biopsy </w:t>
      </w:r>
      <w:r w:rsidRPr="00DC0382">
        <w:rPr>
          <w:rFonts w:eastAsiaTheme="minorEastAsia"/>
          <w:sz w:val="28"/>
          <w:szCs w:val="28"/>
          <w:lang w:val="en-US" w:eastAsia="zh-CN"/>
        </w:rPr>
        <w:t xml:space="preserve">of </w:t>
      </w:r>
      <w:r w:rsidR="00BB4897">
        <w:rPr>
          <w:rFonts w:eastAsiaTheme="minorEastAsia"/>
          <w:sz w:val="28"/>
          <w:szCs w:val="28"/>
          <w:lang w:val="en-US" w:eastAsia="zh-CN"/>
        </w:rPr>
        <w:t xml:space="preserve">the </w:t>
      </w:r>
      <w:r w:rsidRPr="00DC0382">
        <w:rPr>
          <w:rFonts w:eastAsiaTheme="minorEastAsia"/>
          <w:sz w:val="28"/>
          <w:szCs w:val="28"/>
          <w:lang w:val="en-US" w:eastAsia="zh-CN"/>
        </w:rPr>
        <w:t>mucosa</w:t>
      </w:r>
      <w:r w:rsidR="006E4624" w:rsidRPr="00DC0382">
        <w:rPr>
          <w:rFonts w:eastAsiaTheme="minorEastAsia"/>
          <w:sz w:val="28"/>
          <w:szCs w:val="28"/>
          <w:lang w:val="en-US" w:eastAsia="zh-CN"/>
        </w:rPr>
        <w:t>. H</w:t>
      </w:r>
      <w:r w:rsidRPr="00DC0382">
        <w:rPr>
          <w:rFonts w:eastAsiaTheme="minorEastAsia"/>
          <w:sz w:val="28"/>
          <w:szCs w:val="28"/>
          <w:lang w:val="en-US" w:eastAsia="zh-CN"/>
        </w:rPr>
        <w:t>p</w:t>
      </w:r>
      <w:r w:rsidR="006E4624" w:rsidRPr="00DC0382">
        <w:rPr>
          <w:rFonts w:eastAsiaTheme="minorEastAsia"/>
          <w:sz w:val="28"/>
          <w:szCs w:val="28"/>
          <w:lang w:val="en-US" w:eastAsia="zh-CN"/>
        </w:rPr>
        <w:t xml:space="preserve"> diagnostics </w:t>
      </w:r>
      <w:r w:rsidRPr="00DC0382">
        <w:rPr>
          <w:rFonts w:eastAsiaTheme="minorEastAsia"/>
          <w:sz w:val="28"/>
          <w:szCs w:val="28"/>
          <w:lang w:val="en-US" w:eastAsia="zh-CN"/>
        </w:rPr>
        <w:t xml:space="preserve">was </w:t>
      </w:r>
      <w:r w:rsidR="006E4624" w:rsidRPr="00DC0382">
        <w:rPr>
          <w:rFonts w:eastAsiaTheme="minorEastAsia"/>
          <w:sz w:val="28"/>
          <w:szCs w:val="28"/>
          <w:lang w:val="en-US" w:eastAsia="zh-CN"/>
        </w:rPr>
        <w:t xml:space="preserve">carried out by two methods: </w:t>
      </w:r>
      <w:r w:rsidRPr="00DC0382">
        <w:rPr>
          <w:rFonts w:eastAsiaTheme="minorEastAsia"/>
          <w:sz w:val="28"/>
          <w:szCs w:val="28"/>
          <w:lang w:val="en-US" w:eastAsia="zh-CN"/>
        </w:rPr>
        <w:t>i</w:t>
      </w:r>
      <w:r w:rsidR="006E4624" w:rsidRPr="00DC0382">
        <w:rPr>
          <w:rFonts w:eastAsiaTheme="minorEastAsia"/>
          <w:sz w:val="28"/>
          <w:szCs w:val="28"/>
          <w:lang w:val="en-US" w:eastAsia="zh-CN"/>
        </w:rPr>
        <w:t xml:space="preserve">nvasive </w:t>
      </w:r>
      <w:r w:rsidR="004B483B">
        <w:rPr>
          <w:rFonts w:eastAsiaTheme="minorEastAsia"/>
          <w:sz w:val="28"/>
          <w:szCs w:val="28"/>
          <w:lang w:val="en-US" w:eastAsia="zh-CN"/>
        </w:rPr>
        <w:t>–</w:t>
      </w:r>
      <w:r w:rsidR="006E4624" w:rsidRPr="00DC0382">
        <w:rPr>
          <w:rFonts w:eastAsiaTheme="minorEastAsia"/>
          <w:sz w:val="28"/>
          <w:szCs w:val="28"/>
          <w:lang w:val="en-US" w:eastAsia="zh-CN"/>
        </w:rPr>
        <w:t xml:space="preserve"> rapid </w:t>
      </w:r>
      <w:proofErr w:type="spellStart"/>
      <w:r w:rsidR="006E4624" w:rsidRPr="00DC0382">
        <w:rPr>
          <w:rFonts w:eastAsiaTheme="minorEastAsia"/>
          <w:sz w:val="28"/>
          <w:szCs w:val="28"/>
          <w:lang w:val="en-US" w:eastAsia="zh-CN"/>
        </w:rPr>
        <w:t>urease</w:t>
      </w:r>
      <w:proofErr w:type="spellEnd"/>
      <w:r w:rsidR="006E4624" w:rsidRPr="00DC0382">
        <w:rPr>
          <w:rFonts w:eastAsiaTheme="minorEastAsia"/>
          <w:sz w:val="28"/>
          <w:szCs w:val="28"/>
          <w:lang w:val="en-US" w:eastAsia="zh-CN"/>
        </w:rPr>
        <w:t xml:space="preserve"> test with biopsy material</w:t>
      </w:r>
      <w:r w:rsidRPr="00DC0382">
        <w:rPr>
          <w:rFonts w:eastAsiaTheme="minorEastAsia"/>
          <w:sz w:val="28"/>
          <w:szCs w:val="28"/>
          <w:lang w:val="en-US" w:eastAsia="zh-CN"/>
        </w:rPr>
        <w:t>,</w:t>
      </w:r>
      <w:r w:rsidR="006E4624" w:rsidRPr="00DC0382">
        <w:rPr>
          <w:rFonts w:eastAsiaTheme="minorEastAsia"/>
          <w:sz w:val="28"/>
          <w:szCs w:val="28"/>
          <w:lang w:val="en-US" w:eastAsia="zh-CN"/>
        </w:rPr>
        <w:t xml:space="preserve"> and non-invasive </w:t>
      </w:r>
      <w:r w:rsidR="004B483B">
        <w:rPr>
          <w:rFonts w:eastAsiaTheme="minorEastAsia"/>
          <w:sz w:val="28"/>
          <w:szCs w:val="28"/>
          <w:lang w:val="en-US" w:eastAsia="zh-CN"/>
        </w:rPr>
        <w:t>–</w:t>
      </w:r>
      <w:r w:rsidR="006E4624" w:rsidRPr="00DC0382">
        <w:rPr>
          <w:rFonts w:eastAsiaTheme="minorEastAsia"/>
          <w:sz w:val="28"/>
          <w:szCs w:val="28"/>
          <w:lang w:val="en-US" w:eastAsia="zh-CN"/>
        </w:rPr>
        <w:t xml:space="preserve"> urea </w:t>
      </w:r>
      <w:proofErr w:type="gramStart"/>
      <w:r w:rsidR="006E4624" w:rsidRPr="00DC0382">
        <w:rPr>
          <w:rFonts w:eastAsiaTheme="minorEastAsia"/>
          <w:sz w:val="28"/>
          <w:szCs w:val="28"/>
          <w:lang w:val="en-US" w:eastAsia="zh-CN"/>
        </w:rPr>
        <w:t>breath</w:t>
      </w:r>
      <w:proofErr w:type="gramEnd"/>
      <w:r w:rsidR="006E4624" w:rsidRPr="00DC0382">
        <w:rPr>
          <w:rFonts w:eastAsiaTheme="minorEastAsia"/>
          <w:sz w:val="28"/>
          <w:szCs w:val="28"/>
          <w:lang w:val="en-US" w:eastAsia="zh-CN"/>
        </w:rPr>
        <w:t xml:space="preserve"> test using the test system </w:t>
      </w:r>
      <w:r w:rsidR="004B483B" w:rsidRPr="004B483B">
        <w:rPr>
          <w:rFonts w:eastAsiaTheme="minorEastAsia"/>
          <w:sz w:val="28"/>
          <w:szCs w:val="28"/>
          <w:lang w:val="en-US" w:eastAsia="zh-CN"/>
        </w:rPr>
        <w:t>«</w:t>
      </w:r>
      <w:proofErr w:type="spellStart"/>
      <w:r w:rsidR="004B483B">
        <w:rPr>
          <w:rFonts w:eastAsiaTheme="minorEastAsia"/>
          <w:sz w:val="28"/>
          <w:szCs w:val="28"/>
          <w:lang w:val="en-US" w:eastAsia="zh-CN"/>
        </w:rPr>
        <w:t>Helic</w:t>
      </w:r>
      <w:proofErr w:type="spellEnd"/>
      <w:r w:rsidR="004B483B" w:rsidRPr="004B483B">
        <w:rPr>
          <w:rFonts w:eastAsiaTheme="minorEastAsia"/>
          <w:sz w:val="28"/>
          <w:szCs w:val="28"/>
          <w:lang w:val="en-US" w:eastAsia="zh-CN"/>
        </w:rPr>
        <w:t>»</w:t>
      </w:r>
      <w:r w:rsidR="006E4624" w:rsidRPr="00DC0382">
        <w:rPr>
          <w:rFonts w:eastAsiaTheme="minorEastAsia"/>
          <w:sz w:val="28"/>
          <w:szCs w:val="28"/>
          <w:lang w:val="en-US" w:eastAsia="zh-CN"/>
        </w:rPr>
        <w:t xml:space="preserve"> with detector tubes (</w:t>
      </w:r>
      <w:r w:rsidR="004B483B" w:rsidRPr="004B483B">
        <w:rPr>
          <w:rFonts w:eastAsiaTheme="minorEastAsia"/>
          <w:sz w:val="28"/>
          <w:szCs w:val="28"/>
          <w:lang w:val="en-US" w:eastAsia="zh-CN"/>
        </w:rPr>
        <w:t>«</w:t>
      </w:r>
      <w:r w:rsidR="004B483B">
        <w:rPr>
          <w:rFonts w:eastAsiaTheme="minorEastAsia"/>
          <w:sz w:val="28"/>
          <w:szCs w:val="28"/>
          <w:lang w:val="en-US" w:eastAsia="zh-CN"/>
        </w:rPr>
        <w:t>AMA</w:t>
      </w:r>
      <w:r w:rsidR="004B483B" w:rsidRPr="004B483B">
        <w:rPr>
          <w:rFonts w:eastAsiaTheme="minorEastAsia"/>
          <w:sz w:val="28"/>
          <w:szCs w:val="28"/>
          <w:lang w:val="en-US" w:eastAsia="zh-CN"/>
        </w:rPr>
        <w:t>»</w:t>
      </w:r>
      <w:r w:rsidRPr="00DC0382">
        <w:rPr>
          <w:rFonts w:eastAsiaTheme="minorEastAsia"/>
          <w:sz w:val="28"/>
          <w:szCs w:val="28"/>
          <w:lang w:val="en-US" w:eastAsia="zh-CN"/>
        </w:rPr>
        <w:t>, Russia)</w:t>
      </w:r>
      <w:r w:rsidR="006E4624" w:rsidRPr="00DC0382">
        <w:rPr>
          <w:rFonts w:eastAsiaTheme="minorEastAsia"/>
          <w:sz w:val="28"/>
          <w:szCs w:val="28"/>
          <w:lang w:val="en-US" w:eastAsia="zh-CN"/>
        </w:rPr>
        <w:t>. H</w:t>
      </w:r>
      <w:r w:rsidRPr="00DC0382">
        <w:rPr>
          <w:rFonts w:eastAsiaTheme="minorEastAsia"/>
          <w:sz w:val="28"/>
          <w:szCs w:val="28"/>
          <w:lang w:val="en-US" w:eastAsia="zh-CN"/>
        </w:rPr>
        <w:t>p</w:t>
      </w:r>
      <w:r w:rsidR="006E4624" w:rsidRPr="00DC0382">
        <w:rPr>
          <w:rFonts w:eastAsiaTheme="minorEastAsia"/>
          <w:sz w:val="28"/>
          <w:szCs w:val="28"/>
          <w:lang w:val="en-US" w:eastAsia="zh-CN"/>
        </w:rPr>
        <w:t xml:space="preserve"> </w:t>
      </w:r>
      <w:r w:rsidRPr="00DC0382">
        <w:rPr>
          <w:rFonts w:eastAsiaTheme="minorEastAsia"/>
          <w:sz w:val="28"/>
          <w:szCs w:val="28"/>
          <w:lang w:val="en-US" w:eastAsia="zh-CN"/>
        </w:rPr>
        <w:t>infection was determined</w:t>
      </w:r>
      <w:r w:rsidR="006E4624" w:rsidRPr="00DC0382">
        <w:rPr>
          <w:rFonts w:eastAsiaTheme="minorEastAsia"/>
          <w:sz w:val="28"/>
          <w:szCs w:val="28"/>
          <w:lang w:val="en-US" w:eastAsia="zh-CN"/>
        </w:rPr>
        <w:t xml:space="preserve"> in case of positive results of both diagnostic methods.</w:t>
      </w:r>
    </w:p>
    <w:p w:rsidR="009C61E3" w:rsidRPr="00DC0382" w:rsidRDefault="00326B0C" w:rsidP="00BC7970">
      <w:pPr>
        <w:spacing w:after="0" w:line="360" w:lineRule="auto"/>
        <w:ind w:firstLine="709"/>
        <w:jc w:val="both"/>
        <w:rPr>
          <w:rFonts w:eastAsiaTheme="minorEastAsia"/>
          <w:sz w:val="28"/>
          <w:szCs w:val="28"/>
          <w:lang w:val="en-US" w:eastAsia="zh-CN"/>
        </w:rPr>
      </w:pPr>
      <w:r w:rsidRPr="00DC0382">
        <w:rPr>
          <w:rFonts w:eastAsiaTheme="minorEastAsia"/>
          <w:sz w:val="28"/>
          <w:szCs w:val="28"/>
          <w:lang w:val="en-US" w:eastAsia="zh-CN"/>
        </w:rPr>
        <w:t>Study included children with Hp genotyping that was performed with the u</w:t>
      </w:r>
      <w:r w:rsidR="004B483B">
        <w:rPr>
          <w:rFonts w:eastAsiaTheme="minorEastAsia"/>
          <w:sz w:val="28"/>
          <w:szCs w:val="28"/>
          <w:lang w:val="en-US" w:eastAsia="zh-CN"/>
        </w:rPr>
        <w:t xml:space="preserve">se of kits </w:t>
      </w:r>
      <w:r w:rsidR="004B483B" w:rsidRPr="004B483B">
        <w:rPr>
          <w:rFonts w:eastAsiaTheme="minorEastAsia"/>
          <w:sz w:val="28"/>
          <w:szCs w:val="28"/>
          <w:lang w:val="en-US" w:eastAsia="zh-CN"/>
        </w:rPr>
        <w:t>«</w:t>
      </w:r>
      <w:proofErr w:type="spellStart"/>
      <w:r w:rsidR="004B483B">
        <w:rPr>
          <w:rFonts w:eastAsiaTheme="minorEastAsia"/>
          <w:sz w:val="28"/>
          <w:szCs w:val="28"/>
          <w:lang w:val="en-US" w:eastAsia="zh-CN"/>
        </w:rPr>
        <w:t>Helicopol</w:t>
      </w:r>
      <w:proofErr w:type="spellEnd"/>
      <w:r w:rsidR="004B483B" w:rsidRPr="004B483B">
        <w:rPr>
          <w:rFonts w:eastAsiaTheme="minorEastAsia"/>
          <w:sz w:val="28"/>
          <w:szCs w:val="28"/>
          <w:lang w:val="en-US" w:eastAsia="zh-CN"/>
        </w:rPr>
        <w:t>»</w:t>
      </w:r>
      <w:r w:rsidR="004B483B">
        <w:rPr>
          <w:rFonts w:eastAsiaTheme="minorEastAsia"/>
          <w:sz w:val="28"/>
          <w:szCs w:val="28"/>
          <w:lang w:val="en-US" w:eastAsia="zh-CN"/>
        </w:rPr>
        <w:t xml:space="preserve"> (</w:t>
      </w:r>
      <w:r w:rsidR="004B483B" w:rsidRPr="004B483B">
        <w:rPr>
          <w:rFonts w:eastAsiaTheme="minorEastAsia"/>
          <w:sz w:val="28"/>
          <w:szCs w:val="28"/>
          <w:lang w:val="en-US" w:eastAsia="zh-CN"/>
        </w:rPr>
        <w:t>«</w:t>
      </w:r>
      <w:proofErr w:type="spellStart"/>
      <w:r w:rsidR="004B483B">
        <w:rPr>
          <w:rFonts w:eastAsiaTheme="minorEastAsia"/>
          <w:sz w:val="28"/>
          <w:szCs w:val="28"/>
          <w:lang w:val="en-US" w:eastAsia="zh-CN"/>
        </w:rPr>
        <w:t>Lytech</w:t>
      </w:r>
      <w:proofErr w:type="spellEnd"/>
      <w:r w:rsidR="004B483B" w:rsidRPr="004B483B">
        <w:rPr>
          <w:rFonts w:eastAsiaTheme="minorEastAsia"/>
          <w:sz w:val="28"/>
          <w:szCs w:val="28"/>
          <w:lang w:val="en-US" w:eastAsia="zh-CN"/>
        </w:rPr>
        <w:t>»</w:t>
      </w:r>
      <w:r w:rsidRPr="00DC0382">
        <w:rPr>
          <w:rFonts w:eastAsiaTheme="minorEastAsia"/>
          <w:sz w:val="28"/>
          <w:szCs w:val="28"/>
          <w:lang w:val="en-US" w:eastAsia="zh-CN"/>
        </w:rPr>
        <w:t xml:space="preserve">, Russia). All the children were divided into two groups according to </w:t>
      </w:r>
      <w:r w:rsidR="00B21E17" w:rsidRPr="00DC0382">
        <w:rPr>
          <w:rFonts w:eastAsiaTheme="minorEastAsia"/>
          <w:sz w:val="28"/>
          <w:szCs w:val="28"/>
          <w:lang w:val="en-US" w:eastAsia="zh-CN"/>
        </w:rPr>
        <w:t xml:space="preserve">the </w:t>
      </w:r>
      <w:r w:rsidRPr="00DC0382">
        <w:rPr>
          <w:rFonts w:eastAsiaTheme="minorEastAsia"/>
          <w:sz w:val="28"/>
          <w:szCs w:val="28"/>
          <w:lang w:val="en-US" w:eastAsia="zh-CN"/>
        </w:rPr>
        <w:t>clinical virulence of Hp strain</w:t>
      </w:r>
      <w:r w:rsidR="00B21E17" w:rsidRPr="00DC0382">
        <w:rPr>
          <w:rFonts w:eastAsiaTheme="minorEastAsia"/>
          <w:sz w:val="28"/>
          <w:szCs w:val="28"/>
          <w:lang w:val="en-US" w:eastAsia="zh-CN"/>
        </w:rPr>
        <w:t>. The first comparison group (n=</w:t>
      </w:r>
      <w:r w:rsidRPr="00DC0382">
        <w:rPr>
          <w:rFonts w:eastAsiaTheme="minorEastAsia"/>
          <w:sz w:val="28"/>
          <w:szCs w:val="28"/>
          <w:lang w:val="en-US" w:eastAsia="zh-CN"/>
        </w:rPr>
        <w:t xml:space="preserve">32) </w:t>
      </w:r>
      <w:r w:rsidR="00B21E17" w:rsidRPr="00DC0382">
        <w:rPr>
          <w:rFonts w:eastAsiaTheme="minorEastAsia"/>
          <w:sz w:val="28"/>
          <w:szCs w:val="28"/>
          <w:lang w:val="en-US" w:eastAsia="zh-CN"/>
        </w:rPr>
        <w:t>consisted of</w:t>
      </w:r>
      <w:r w:rsidRPr="00DC0382">
        <w:rPr>
          <w:rFonts w:eastAsiaTheme="minorEastAsia"/>
          <w:sz w:val="28"/>
          <w:szCs w:val="28"/>
          <w:lang w:val="en-US" w:eastAsia="zh-CN"/>
        </w:rPr>
        <w:t xml:space="preserve"> children </w:t>
      </w:r>
      <w:r w:rsidR="00B21E17" w:rsidRPr="00DC0382">
        <w:rPr>
          <w:rFonts w:eastAsiaTheme="minorEastAsia"/>
          <w:sz w:val="28"/>
          <w:szCs w:val="28"/>
          <w:lang w:val="en-US" w:eastAsia="zh-CN"/>
        </w:rPr>
        <w:t>with</w:t>
      </w:r>
      <w:r w:rsidRPr="00DC0382">
        <w:rPr>
          <w:rFonts w:eastAsiaTheme="minorEastAsia"/>
          <w:sz w:val="28"/>
          <w:szCs w:val="28"/>
          <w:lang w:val="en-US" w:eastAsia="zh-CN"/>
        </w:rPr>
        <w:t xml:space="preserve"> virulent </w:t>
      </w:r>
      <w:r w:rsidR="00B21E17" w:rsidRPr="00DC0382">
        <w:rPr>
          <w:rFonts w:eastAsiaTheme="minorEastAsia"/>
          <w:sz w:val="28"/>
          <w:szCs w:val="28"/>
          <w:lang w:val="en-US" w:eastAsia="zh-CN"/>
        </w:rPr>
        <w:t xml:space="preserve">Hp </w:t>
      </w:r>
      <w:r w:rsidRPr="00DC0382">
        <w:rPr>
          <w:rFonts w:eastAsiaTheme="minorEastAsia"/>
          <w:sz w:val="28"/>
          <w:szCs w:val="28"/>
          <w:lang w:val="en-US" w:eastAsia="zh-CN"/>
        </w:rPr>
        <w:t xml:space="preserve">genotype </w:t>
      </w:r>
      <w:r w:rsidR="004B483B">
        <w:rPr>
          <w:rFonts w:eastAsiaTheme="minorEastAsia"/>
          <w:sz w:val="28"/>
          <w:szCs w:val="28"/>
          <w:lang w:val="en-US" w:eastAsia="zh-CN"/>
        </w:rPr>
        <w:t>–</w:t>
      </w:r>
      <w:r w:rsidR="00B21E17" w:rsidRPr="00DC0382">
        <w:rPr>
          <w:rFonts w:eastAsiaTheme="minorEastAsia"/>
          <w:sz w:val="28"/>
          <w:szCs w:val="28"/>
          <w:lang w:val="en-US" w:eastAsia="zh-CN"/>
        </w:rPr>
        <w:t xml:space="preserve"> cagA+vacAs1/m1 or cagA+</w:t>
      </w:r>
      <w:r w:rsidRPr="00DC0382">
        <w:rPr>
          <w:rFonts w:eastAsiaTheme="minorEastAsia"/>
          <w:sz w:val="28"/>
          <w:szCs w:val="28"/>
          <w:lang w:val="en-US" w:eastAsia="zh-CN"/>
        </w:rPr>
        <w:t xml:space="preserve">vacAs1s2/m1m2. </w:t>
      </w:r>
      <w:r w:rsidR="00B21E17" w:rsidRPr="00DC0382">
        <w:rPr>
          <w:rFonts w:eastAsiaTheme="minorEastAsia"/>
          <w:sz w:val="28"/>
          <w:szCs w:val="28"/>
          <w:lang w:val="en-US" w:eastAsia="zh-CN"/>
        </w:rPr>
        <w:t>S</w:t>
      </w:r>
      <w:r w:rsidRPr="00DC0382">
        <w:rPr>
          <w:rFonts w:eastAsiaTheme="minorEastAsia"/>
          <w:sz w:val="28"/>
          <w:szCs w:val="28"/>
          <w:lang w:val="en-US" w:eastAsia="zh-CN"/>
        </w:rPr>
        <w:t xml:space="preserve">econd group </w:t>
      </w:r>
      <w:r w:rsidR="00B21E17" w:rsidRPr="00DC0382">
        <w:rPr>
          <w:rFonts w:eastAsiaTheme="minorEastAsia"/>
          <w:sz w:val="28"/>
          <w:szCs w:val="28"/>
          <w:lang w:val="en-US" w:eastAsia="zh-CN"/>
        </w:rPr>
        <w:t>included</w:t>
      </w:r>
      <w:r w:rsidRPr="00DC0382">
        <w:rPr>
          <w:rFonts w:eastAsiaTheme="minorEastAsia"/>
          <w:sz w:val="28"/>
          <w:szCs w:val="28"/>
          <w:lang w:val="en-US" w:eastAsia="zh-CN"/>
        </w:rPr>
        <w:t xml:space="preserve"> patients with </w:t>
      </w:r>
      <w:proofErr w:type="spellStart"/>
      <w:r w:rsidR="00B21E17" w:rsidRPr="00DC0382">
        <w:rPr>
          <w:rFonts w:eastAsiaTheme="minorEastAsia"/>
          <w:sz w:val="28"/>
          <w:szCs w:val="28"/>
          <w:lang w:val="en-US" w:eastAsia="zh-CN"/>
        </w:rPr>
        <w:t>avirulent</w:t>
      </w:r>
      <w:proofErr w:type="spellEnd"/>
      <w:r w:rsidR="00B21E17" w:rsidRPr="00DC0382">
        <w:rPr>
          <w:rFonts w:eastAsiaTheme="minorEastAsia"/>
          <w:sz w:val="28"/>
          <w:szCs w:val="28"/>
          <w:lang w:val="en-US" w:eastAsia="zh-CN"/>
        </w:rPr>
        <w:t xml:space="preserve"> Hp </w:t>
      </w:r>
      <w:r w:rsidRPr="00DC0382">
        <w:rPr>
          <w:rFonts w:eastAsiaTheme="minorEastAsia"/>
          <w:sz w:val="28"/>
          <w:szCs w:val="28"/>
          <w:lang w:val="en-US" w:eastAsia="zh-CN"/>
        </w:rPr>
        <w:t xml:space="preserve">genotype </w:t>
      </w:r>
      <w:r w:rsidR="00B21E17" w:rsidRPr="00DC0382">
        <w:rPr>
          <w:rFonts w:eastAsiaTheme="minorEastAsia"/>
          <w:sz w:val="28"/>
          <w:szCs w:val="28"/>
          <w:lang w:val="en-US" w:eastAsia="zh-CN"/>
        </w:rPr>
        <w:t>(n=28</w:t>
      </w:r>
      <w:r w:rsidRPr="00DC0382">
        <w:rPr>
          <w:rFonts w:eastAsiaTheme="minorEastAsia"/>
          <w:sz w:val="28"/>
          <w:szCs w:val="28"/>
          <w:lang w:val="en-US" w:eastAsia="zh-CN"/>
        </w:rPr>
        <w:t xml:space="preserve">) </w:t>
      </w:r>
      <w:r w:rsidR="004B483B">
        <w:rPr>
          <w:rFonts w:eastAsiaTheme="minorEastAsia"/>
          <w:sz w:val="28"/>
          <w:szCs w:val="28"/>
          <w:lang w:val="en-US" w:eastAsia="zh-CN"/>
        </w:rPr>
        <w:t>–</w:t>
      </w:r>
      <w:r w:rsidRPr="00DC0382">
        <w:rPr>
          <w:rFonts w:eastAsiaTheme="minorEastAsia"/>
          <w:sz w:val="28"/>
          <w:szCs w:val="28"/>
          <w:lang w:val="en-US" w:eastAsia="zh-CN"/>
        </w:rPr>
        <w:t xml:space="preserve"> </w:t>
      </w:r>
      <w:r w:rsidR="00B21E17" w:rsidRPr="00DC0382">
        <w:rPr>
          <w:rFonts w:eastAsiaTheme="minorEastAsia"/>
          <w:sz w:val="28"/>
          <w:szCs w:val="28"/>
          <w:lang w:val="en-US" w:eastAsia="zh-CN"/>
        </w:rPr>
        <w:t>virulent combination of genes wasn’t found in this group of patients upon</w:t>
      </w:r>
      <w:r w:rsidRPr="00DC0382">
        <w:rPr>
          <w:rFonts w:eastAsiaTheme="minorEastAsia"/>
          <w:sz w:val="28"/>
          <w:szCs w:val="28"/>
          <w:lang w:val="en-US" w:eastAsia="zh-CN"/>
        </w:rPr>
        <w:t xml:space="preserve"> </w:t>
      </w:r>
      <w:r w:rsidR="00B21E17" w:rsidRPr="00DC0382">
        <w:rPr>
          <w:rFonts w:eastAsiaTheme="minorEastAsia"/>
          <w:sz w:val="28"/>
          <w:szCs w:val="28"/>
          <w:lang w:val="en-US" w:eastAsia="zh-CN"/>
        </w:rPr>
        <w:t xml:space="preserve">Hp </w:t>
      </w:r>
      <w:r w:rsidRPr="00DC0382">
        <w:rPr>
          <w:rFonts w:eastAsiaTheme="minorEastAsia"/>
          <w:sz w:val="28"/>
          <w:szCs w:val="28"/>
          <w:lang w:val="en-US" w:eastAsia="zh-CN"/>
        </w:rPr>
        <w:t xml:space="preserve">genotyping. </w:t>
      </w:r>
      <w:r w:rsidR="00B21E17" w:rsidRPr="00DC0382">
        <w:rPr>
          <w:rFonts w:eastAsiaTheme="minorEastAsia"/>
          <w:sz w:val="28"/>
          <w:szCs w:val="28"/>
          <w:lang w:val="en-US" w:eastAsia="zh-CN"/>
        </w:rPr>
        <w:t>C</w:t>
      </w:r>
      <w:r w:rsidRPr="00DC0382">
        <w:rPr>
          <w:rFonts w:eastAsiaTheme="minorEastAsia"/>
          <w:sz w:val="28"/>
          <w:szCs w:val="28"/>
          <w:lang w:val="en-US" w:eastAsia="zh-CN"/>
        </w:rPr>
        <w:t xml:space="preserve">ontrol group consisted of 20 </w:t>
      </w:r>
      <w:r w:rsidR="009C61E3" w:rsidRPr="00DC0382">
        <w:rPr>
          <w:rFonts w:eastAsiaTheme="minorEastAsia"/>
          <w:sz w:val="28"/>
          <w:szCs w:val="28"/>
          <w:lang w:val="en-US" w:eastAsia="zh-CN"/>
        </w:rPr>
        <w:t>conditionally</w:t>
      </w:r>
      <w:r w:rsidR="00B21E17" w:rsidRPr="00DC0382">
        <w:rPr>
          <w:rFonts w:eastAsiaTheme="minorEastAsia"/>
          <w:sz w:val="28"/>
          <w:szCs w:val="28"/>
          <w:lang w:val="en-US" w:eastAsia="zh-CN"/>
        </w:rPr>
        <w:t xml:space="preserve"> healthy children without CGDP</w:t>
      </w:r>
      <w:r w:rsidRPr="00DC0382">
        <w:rPr>
          <w:rFonts w:eastAsiaTheme="minorEastAsia"/>
          <w:sz w:val="28"/>
          <w:szCs w:val="28"/>
          <w:lang w:val="en-US" w:eastAsia="zh-CN"/>
        </w:rPr>
        <w:t>.</w:t>
      </w:r>
    </w:p>
    <w:p w:rsidR="00326B0C" w:rsidRPr="00DC0382" w:rsidRDefault="009C61E3" w:rsidP="00BC7970">
      <w:pPr>
        <w:spacing w:after="0" w:line="360" w:lineRule="auto"/>
        <w:ind w:firstLine="709"/>
        <w:jc w:val="both"/>
        <w:rPr>
          <w:rFonts w:eastAsiaTheme="minorEastAsia"/>
          <w:sz w:val="28"/>
          <w:szCs w:val="28"/>
          <w:lang w:val="en-US" w:eastAsia="zh-CN"/>
        </w:rPr>
      </w:pPr>
      <w:r w:rsidRPr="00DC0382">
        <w:rPr>
          <w:rFonts w:eastAsiaTheme="minorEastAsia"/>
          <w:sz w:val="28"/>
          <w:szCs w:val="28"/>
          <w:lang w:val="en-US" w:eastAsia="zh-CN"/>
        </w:rPr>
        <w:t>SIBO diagnostic assessment was performed for a</w:t>
      </w:r>
      <w:r w:rsidR="00326B0C" w:rsidRPr="00DC0382">
        <w:rPr>
          <w:rFonts w:eastAsiaTheme="minorEastAsia"/>
          <w:sz w:val="28"/>
          <w:szCs w:val="28"/>
          <w:lang w:val="en-US" w:eastAsia="zh-CN"/>
        </w:rPr>
        <w:t xml:space="preserve">ll </w:t>
      </w:r>
      <w:r w:rsidRPr="00DC0382">
        <w:rPr>
          <w:rFonts w:eastAsiaTheme="minorEastAsia"/>
          <w:sz w:val="28"/>
          <w:szCs w:val="28"/>
          <w:lang w:val="en-US" w:eastAsia="zh-CN"/>
        </w:rPr>
        <w:t xml:space="preserve">the </w:t>
      </w:r>
      <w:r w:rsidR="00326B0C" w:rsidRPr="00DC0382">
        <w:rPr>
          <w:rFonts w:eastAsiaTheme="minorEastAsia"/>
          <w:sz w:val="28"/>
          <w:szCs w:val="28"/>
          <w:lang w:val="en-US" w:eastAsia="zh-CN"/>
        </w:rPr>
        <w:t xml:space="preserve">children </w:t>
      </w:r>
      <w:r w:rsidRPr="00DC0382">
        <w:rPr>
          <w:rFonts w:eastAsiaTheme="minorEastAsia"/>
          <w:sz w:val="28"/>
          <w:szCs w:val="28"/>
          <w:lang w:val="en-US" w:eastAsia="zh-CN"/>
        </w:rPr>
        <w:t>by</w:t>
      </w:r>
      <w:r w:rsidR="00326B0C" w:rsidRPr="00DC0382">
        <w:rPr>
          <w:rFonts w:eastAsiaTheme="minorEastAsia"/>
          <w:sz w:val="28"/>
          <w:szCs w:val="28"/>
          <w:lang w:val="en-US" w:eastAsia="zh-CN"/>
        </w:rPr>
        <w:t xml:space="preserve"> the hydrogen breath test with </w:t>
      </w:r>
      <w:proofErr w:type="spellStart"/>
      <w:r w:rsidR="00326B0C" w:rsidRPr="00DC0382">
        <w:rPr>
          <w:rFonts w:eastAsiaTheme="minorEastAsia"/>
          <w:sz w:val="28"/>
          <w:szCs w:val="28"/>
          <w:lang w:val="en-US" w:eastAsia="zh-CN"/>
        </w:rPr>
        <w:t>lactulose</w:t>
      </w:r>
      <w:proofErr w:type="spellEnd"/>
      <w:r w:rsidR="00326B0C" w:rsidRPr="00DC0382">
        <w:rPr>
          <w:rFonts w:eastAsiaTheme="minorEastAsia"/>
          <w:sz w:val="28"/>
          <w:szCs w:val="28"/>
          <w:lang w:val="en-US" w:eastAsia="zh-CN"/>
        </w:rPr>
        <w:t xml:space="preserve"> load</w:t>
      </w:r>
      <w:r w:rsidRPr="00DC0382">
        <w:rPr>
          <w:rFonts w:eastAsiaTheme="minorEastAsia"/>
          <w:sz w:val="28"/>
          <w:szCs w:val="28"/>
          <w:lang w:val="en-US" w:eastAsia="zh-CN"/>
        </w:rPr>
        <w:t>,</w:t>
      </w:r>
      <w:r w:rsidR="00326B0C" w:rsidRPr="00DC0382">
        <w:rPr>
          <w:rFonts w:eastAsiaTheme="minorEastAsia"/>
          <w:sz w:val="28"/>
          <w:szCs w:val="28"/>
          <w:lang w:val="en-US" w:eastAsia="zh-CN"/>
        </w:rPr>
        <w:t xml:space="preserve"> using a digital analyzer </w:t>
      </w:r>
      <w:r w:rsidRPr="00DC0382">
        <w:rPr>
          <w:rFonts w:eastAsiaTheme="minorEastAsia"/>
          <w:sz w:val="28"/>
          <w:szCs w:val="28"/>
          <w:lang w:val="en-US" w:eastAsia="zh-CN"/>
        </w:rPr>
        <w:t xml:space="preserve">of the </w:t>
      </w:r>
      <w:r w:rsidR="00326B0C" w:rsidRPr="00DC0382">
        <w:rPr>
          <w:rFonts w:eastAsiaTheme="minorEastAsia"/>
          <w:sz w:val="28"/>
          <w:szCs w:val="28"/>
          <w:lang w:val="en-US" w:eastAsia="zh-CN"/>
        </w:rPr>
        <w:t xml:space="preserve">exhaled hydrogen </w:t>
      </w:r>
      <w:r w:rsidR="004B483B" w:rsidRPr="004B483B">
        <w:rPr>
          <w:rFonts w:eastAsiaTheme="minorEastAsia"/>
          <w:sz w:val="28"/>
          <w:szCs w:val="28"/>
          <w:lang w:val="en-US" w:eastAsia="zh-CN"/>
        </w:rPr>
        <w:t>«</w:t>
      </w:r>
      <w:r w:rsidR="00326B0C" w:rsidRPr="00DC0382">
        <w:rPr>
          <w:rFonts w:eastAsiaTheme="minorEastAsia"/>
          <w:sz w:val="28"/>
          <w:szCs w:val="28"/>
          <w:lang w:val="en-US" w:eastAsia="zh-CN"/>
        </w:rPr>
        <w:t>La</w:t>
      </w:r>
      <w:r w:rsidRPr="00DC0382">
        <w:rPr>
          <w:rFonts w:eastAsiaTheme="minorEastAsia"/>
          <w:sz w:val="28"/>
          <w:szCs w:val="28"/>
          <w:lang w:val="en-US" w:eastAsia="zh-CN"/>
        </w:rPr>
        <w:t>c</w:t>
      </w:r>
      <w:r w:rsidR="00326B0C" w:rsidRPr="00DC0382">
        <w:rPr>
          <w:rFonts w:eastAsiaTheme="minorEastAsia"/>
          <w:sz w:val="28"/>
          <w:szCs w:val="28"/>
          <w:lang w:val="en-US" w:eastAsia="zh-CN"/>
        </w:rPr>
        <w:t>tofa</w:t>
      </w:r>
      <w:r w:rsidR="004B483B">
        <w:rPr>
          <w:rFonts w:eastAsiaTheme="minorEastAsia"/>
          <w:sz w:val="28"/>
          <w:szCs w:val="28"/>
          <w:lang w:val="en-US" w:eastAsia="zh-CN"/>
        </w:rPr>
        <w:t>H2</w:t>
      </w:r>
      <w:r w:rsidR="004B483B" w:rsidRPr="004B483B">
        <w:rPr>
          <w:rFonts w:eastAsiaTheme="minorEastAsia"/>
          <w:sz w:val="28"/>
          <w:szCs w:val="28"/>
          <w:lang w:val="en-US" w:eastAsia="zh-CN"/>
        </w:rPr>
        <w:t>»</w:t>
      </w:r>
      <w:r w:rsidR="00326B0C" w:rsidRPr="00DC0382">
        <w:rPr>
          <w:rFonts w:eastAsiaTheme="minorEastAsia"/>
          <w:sz w:val="28"/>
          <w:szCs w:val="28"/>
          <w:lang w:val="en-US" w:eastAsia="zh-CN"/>
        </w:rPr>
        <w:t xml:space="preserve"> (</w:t>
      </w:r>
      <w:r w:rsidR="004B483B" w:rsidRPr="004B483B">
        <w:rPr>
          <w:rFonts w:eastAsiaTheme="minorEastAsia"/>
          <w:sz w:val="28"/>
          <w:szCs w:val="28"/>
          <w:lang w:val="en-US" w:eastAsia="zh-CN"/>
        </w:rPr>
        <w:t>«</w:t>
      </w:r>
      <w:r w:rsidR="004B483B">
        <w:rPr>
          <w:rFonts w:eastAsiaTheme="minorEastAsia"/>
          <w:sz w:val="28"/>
          <w:szCs w:val="28"/>
          <w:lang w:val="en-US" w:eastAsia="zh-CN"/>
        </w:rPr>
        <w:t>AMA</w:t>
      </w:r>
      <w:r w:rsidR="004B483B" w:rsidRPr="004B483B">
        <w:rPr>
          <w:rFonts w:eastAsiaTheme="minorEastAsia"/>
          <w:sz w:val="28"/>
          <w:szCs w:val="28"/>
          <w:lang w:val="en-US" w:eastAsia="zh-CN"/>
        </w:rPr>
        <w:t>»</w:t>
      </w:r>
      <w:r w:rsidRPr="00DC0382">
        <w:rPr>
          <w:rFonts w:eastAsiaTheme="minorEastAsia"/>
          <w:sz w:val="28"/>
          <w:szCs w:val="28"/>
          <w:lang w:val="en-US" w:eastAsia="zh-CN"/>
        </w:rPr>
        <w:t>, Russia)</w:t>
      </w:r>
      <w:r w:rsidR="00326B0C" w:rsidRPr="00DC0382">
        <w:rPr>
          <w:rFonts w:eastAsiaTheme="minorEastAsia"/>
          <w:sz w:val="28"/>
          <w:szCs w:val="28"/>
          <w:lang w:val="en-US" w:eastAsia="zh-CN"/>
        </w:rPr>
        <w:t>.</w:t>
      </w:r>
    </w:p>
    <w:p w:rsidR="002B5FD9" w:rsidRPr="00DC0382" w:rsidRDefault="002B5FD9" w:rsidP="00BC7970">
      <w:pPr>
        <w:spacing w:after="0" w:line="360" w:lineRule="auto"/>
        <w:ind w:firstLine="709"/>
        <w:jc w:val="both"/>
        <w:rPr>
          <w:rFonts w:eastAsiaTheme="minorEastAsia"/>
          <w:sz w:val="28"/>
          <w:szCs w:val="28"/>
          <w:lang w:val="en-US" w:eastAsia="zh-CN"/>
        </w:rPr>
      </w:pPr>
      <w:r w:rsidRPr="00DC0382">
        <w:rPr>
          <w:rFonts w:eastAsiaTheme="minorEastAsia"/>
          <w:sz w:val="28"/>
          <w:szCs w:val="28"/>
          <w:lang w:val="en-US" w:eastAsia="zh-CN"/>
        </w:rPr>
        <w:lastRenderedPageBreak/>
        <w:t xml:space="preserve">Investigation of systemic bacterial </w:t>
      </w:r>
      <w:proofErr w:type="spellStart"/>
      <w:r w:rsidRPr="00DC0382">
        <w:rPr>
          <w:rFonts w:eastAsiaTheme="minorEastAsia"/>
          <w:sz w:val="28"/>
          <w:szCs w:val="28"/>
          <w:lang w:val="en-US" w:eastAsia="zh-CN"/>
        </w:rPr>
        <w:t>endotoxinemia</w:t>
      </w:r>
      <w:proofErr w:type="spellEnd"/>
      <w:r w:rsidRPr="00DC0382">
        <w:rPr>
          <w:rFonts w:eastAsiaTheme="minorEastAsia"/>
          <w:sz w:val="28"/>
          <w:szCs w:val="28"/>
          <w:lang w:val="en-US" w:eastAsia="zh-CN"/>
        </w:rPr>
        <w:t xml:space="preserve"> and </w:t>
      </w:r>
      <w:proofErr w:type="spellStart"/>
      <w:r w:rsidRPr="00DC0382">
        <w:rPr>
          <w:rFonts w:eastAsiaTheme="minorEastAsia"/>
          <w:sz w:val="28"/>
          <w:szCs w:val="28"/>
          <w:lang w:val="en-US" w:eastAsia="zh-CN"/>
        </w:rPr>
        <w:t>antiendotoxin</w:t>
      </w:r>
      <w:proofErr w:type="spellEnd"/>
      <w:r w:rsidRPr="00DC0382">
        <w:rPr>
          <w:rFonts w:eastAsiaTheme="minorEastAsia"/>
          <w:sz w:val="28"/>
          <w:szCs w:val="28"/>
          <w:lang w:val="en-US" w:eastAsia="zh-CN"/>
        </w:rPr>
        <w:t xml:space="preserve"> protection factors was conducted in studying the concentrations of a number of indices. LPS concentration in the blood serum was determined by LAL-test «E-</w:t>
      </w:r>
      <w:proofErr w:type="spellStart"/>
      <w:r w:rsidRPr="00DC0382">
        <w:rPr>
          <w:rFonts w:eastAsiaTheme="minorEastAsia"/>
          <w:sz w:val="28"/>
          <w:szCs w:val="28"/>
          <w:lang w:val="en-US" w:eastAsia="zh-CN"/>
        </w:rPr>
        <w:t>toxate</w:t>
      </w:r>
      <w:proofErr w:type="spellEnd"/>
      <w:r w:rsidRPr="00DC0382">
        <w:rPr>
          <w:rFonts w:eastAsiaTheme="minorEastAsia"/>
          <w:sz w:val="28"/>
          <w:szCs w:val="28"/>
          <w:lang w:val="en-US" w:eastAsia="zh-CN"/>
        </w:rPr>
        <w:t xml:space="preserve">» («SIGMA», USA), </w:t>
      </w:r>
      <w:r w:rsidR="007D7FC1" w:rsidRPr="00DC0382">
        <w:rPr>
          <w:rFonts w:eastAsiaTheme="minorEastAsia"/>
          <w:sz w:val="28"/>
          <w:szCs w:val="28"/>
          <w:lang w:val="en-US" w:eastAsia="zh-CN"/>
        </w:rPr>
        <w:t xml:space="preserve">adapted to the clinical conditions and </w:t>
      </w:r>
      <w:r w:rsidRPr="00DC0382">
        <w:rPr>
          <w:rFonts w:eastAsiaTheme="minorEastAsia"/>
          <w:sz w:val="28"/>
          <w:szCs w:val="28"/>
          <w:lang w:val="en-US" w:eastAsia="zh-CN"/>
        </w:rPr>
        <w:t xml:space="preserve">based on the </w:t>
      </w:r>
      <w:proofErr w:type="spellStart"/>
      <w:r w:rsidRPr="00DC0382">
        <w:rPr>
          <w:rFonts w:eastAsiaTheme="minorEastAsia"/>
          <w:sz w:val="28"/>
          <w:szCs w:val="28"/>
          <w:lang w:val="en-US" w:eastAsia="zh-CN"/>
        </w:rPr>
        <w:t>endotoxin</w:t>
      </w:r>
      <w:proofErr w:type="spellEnd"/>
      <w:r w:rsidRPr="00DC0382">
        <w:rPr>
          <w:rFonts w:eastAsiaTheme="minorEastAsia"/>
          <w:sz w:val="28"/>
          <w:szCs w:val="28"/>
          <w:lang w:val="en-US" w:eastAsia="zh-CN"/>
        </w:rPr>
        <w:t xml:space="preserve"> ability </w:t>
      </w:r>
      <w:r w:rsidR="007D7FC1" w:rsidRPr="00DC0382">
        <w:rPr>
          <w:rFonts w:eastAsiaTheme="minorEastAsia"/>
          <w:sz w:val="28"/>
          <w:szCs w:val="28"/>
          <w:lang w:val="en-US" w:eastAsia="zh-CN"/>
        </w:rPr>
        <w:t>to</w:t>
      </w:r>
      <w:r w:rsidRPr="00DC0382">
        <w:rPr>
          <w:rFonts w:eastAsiaTheme="minorEastAsia"/>
          <w:sz w:val="28"/>
          <w:szCs w:val="28"/>
          <w:lang w:val="en-US" w:eastAsia="zh-CN"/>
        </w:rPr>
        <w:t xml:space="preserve"> cause coagulation </w:t>
      </w:r>
      <w:r w:rsidR="007D7FC1" w:rsidRPr="00DC0382">
        <w:rPr>
          <w:rFonts w:eastAsiaTheme="minorEastAsia"/>
          <w:sz w:val="28"/>
          <w:szCs w:val="28"/>
          <w:lang w:val="en-US" w:eastAsia="zh-CN"/>
        </w:rPr>
        <w:t xml:space="preserve">of </w:t>
      </w:r>
      <w:proofErr w:type="spellStart"/>
      <w:r w:rsidR="007D7FC1" w:rsidRPr="00DC0382">
        <w:rPr>
          <w:rFonts w:eastAsiaTheme="minorEastAsia"/>
          <w:sz w:val="28"/>
          <w:szCs w:val="28"/>
          <w:lang w:val="en-US" w:eastAsia="zh-CN"/>
        </w:rPr>
        <w:t>lysate</w:t>
      </w:r>
      <w:proofErr w:type="spellEnd"/>
      <w:r w:rsidR="007D7FC1" w:rsidRPr="00DC0382">
        <w:rPr>
          <w:rFonts w:eastAsiaTheme="minorEastAsia"/>
          <w:sz w:val="28"/>
          <w:szCs w:val="28"/>
          <w:lang w:val="en-US" w:eastAsia="zh-CN"/>
        </w:rPr>
        <w:t xml:space="preserve"> </w:t>
      </w:r>
      <w:r w:rsidRPr="00DC0382">
        <w:rPr>
          <w:rFonts w:eastAsiaTheme="minorEastAsia"/>
          <w:sz w:val="28"/>
          <w:szCs w:val="28"/>
          <w:lang w:val="en-US" w:eastAsia="zh-CN"/>
        </w:rPr>
        <w:t xml:space="preserve">protein fractions </w:t>
      </w:r>
      <w:r w:rsidR="007D7FC1" w:rsidRPr="00DC0382">
        <w:rPr>
          <w:rFonts w:eastAsiaTheme="minorEastAsia"/>
          <w:sz w:val="28"/>
          <w:szCs w:val="28"/>
          <w:lang w:val="en-US" w:eastAsia="zh-CN"/>
        </w:rPr>
        <w:t xml:space="preserve">of crab </w:t>
      </w:r>
      <w:proofErr w:type="spellStart"/>
      <w:r w:rsidR="007D7FC1" w:rsidRPr="00DC0382">
        <w:rPr>
          <w:rFonts w:eastAsiaTheme="minorEastAsia"/>
          <w:sz w:val="28"/>
          <w:szCs w:val="28"/>
          <w:lang w:val="en-US" w:eastAsia="zh-CN"/>
        </w:rPr>
        <w:t>hemolymph</w:t>
      </w:r>
      <w:proofErr w:type="spellEnd"/>
      <w:r w:rsidR="007D7FC1" w:rsidRPr="00DC0382">
        <w:rPr>
          <w:rFonts w:eastAsiaTheme="minorEastAsia"/>
          <w:sz w:val="28"/>
          <w:szCs w:val="28"/>
          <w:lang w:val="en-US" w:eastAsia="zh-CN"/>
        </w:rPr>
        <w:t xml:space="preserve"> Limulus</w:t>
      </w:r>
      <w:r w:rsidR="004B483B" w:rsidRPr="004B483B">
        <w:rPr>
          <w:rFonts w:eastAsiaTheme="minorEastAsia"/>
          <w:sz w:val="28"/>
          <w:szCs w:val="28"/>
          <w:lang w:val="en-US" w:eastAsia="zh-CN"/>
        </w:rPr>
        <w:t xml:space="preserve"> </w:t>
      </w:r>
      <w:proofErr w:type="spellStart"/>
      <w:r w:rsidR="007D7FC1" w:rsidRPr="00DC0382">
        <w:rPr>
          <w:rFonts w:eastAsiaTheme="minorEastAsia"/>
          <w:sz w:val="28"/>
          <w:szCs w:val="28"/>
          <w:lang w:val="en-US" w:eastAsia="zh-CN"/>
        </w:rPr>
        <w:t>polyphemus</w:t>
      </w:r>
      <w:proofErr w:type="spellEnd"/>
      <w:r w:rsidRPr="00DC0382">
        <w:rPr>
          <w:rFonts w:eastAsiaTheme="minorEastAsia"/>
          <w:sz w:val="28"/>
          <w:szCs w:val="28"/>
          <w:lang w:val="en-US" w:eastAsia="zh-CN"/>
        </w:rPr>
        <w:t xml:space="preserve">, </w:t>
      </w:r>
      <w:r w:rsidR="007D7FC1" w:rsidRPr="00DC0382">
        <w:rPr>
          <w:rFonts w:eastAsiaTheme="minorEastAsia"/>
          <w:sz w:val="28"/>
          <w:szCs w:val="28"/>
          <w:lang w:val="en-US" w:eastAsia="zh-CN"/>
        </w:rPr>
        <w:t>EU/</w:t>
      </w:r>
      <w:r w:rsidRPr="00DC0382">
        <w:rPr>
          <w:rFonts w:eastAsiaTheme="minorEastAsia"/>
          <w:sz w:val="28"/>
          <w:szCs w:val="28"/>
          <w:lang w:val="en-US" w:eastAsia="zh-CN"/>
        </w:rPr>
        <w:t xml:space="preserve">ml. Quantitative determination of LBP in </w:t>
      </w:r>
      <w:r w:rsidR="007D7FC1" w:rsidRPr="00DC0382">
        <w:rPr>
          <w:rFonts w:eastAsiaTheme="minorEastAsia"/>
          <w:sz w:val="28"/>
          <w:szCs w:val="28"/>
          <w:lang w:val="en-US" w:eastAsia="zh-CN"/>
        </w:rPr>
        <w:t xml:space="preserve">the blood </w:t>
      </w:r>
      <w:r w:rsidRPr="00DC0382">
        <w:rPr>
          <w:rFonts w:eastAsiaTheme="minorEastAsia"/>
          <w:sz w:val="28"/>
          <w:szCs w:val="28"/>
          <w:lang w:val="en-US" w:eastAsia="zh-CN"/>
        </w:rPr>
        <w:t xml:space="preserve">serum of patients </w:t>
      </w:r>
      <w:r w:rsidR="007D7FC1" w:rsidRPr="00DC0382">
        <w:rPr>
          <w:rFonts w:eastAsiaTheme="minorEastAsia"/>
          <w:sz w:val="28"/>
          <w:szCs w:val="28"/>
          <w:lang w:val="en-US" w:eastAsia="zh-CN"/>
        </w:rPr>
        <w:t>was conducted</w:t>
      </w:r>
      <w:r w:rsidRPr="00DC0382">
        <w:rPr>
          <w:rFonts w:eastAsiaTheme="minorEastAsia"/>
          <w:sz w:val="28"/>
          <w:szCs w:val="28"/>
          <w:lang w:val="en-US" w:eastAsia="zh-CN"/>
        </w:rPr>
        <w:t xml:space="preserve"> by ELISA</w:t>
      </w:r>
      <w:r w:rsidR="00BB4897">
        <w:rPr>
          <w:rFonts w:eastAsiaTheme="minorEastAsia"/>
          <w:sz w:val="28"/>
          <w:szCs w:val="28"/>
          <w:lang w:val="en-US" w:eastAsia="zh-CN"/>
        </w:rPr>
        <w:t xml:space="preserve"> </w:t>
      </w:r>
      <w:r w:rsidR="007D7FC1" w:rsidRPr="00DC0382">
        <w:rPr>
          <w:rFonts w:eastAsiaTheme="minorEastAsia"/>
          <w:sz w:val="28"/>
          <w:szCs w:val="28"/>
          <w:lang w:val="en-US" w:eastAsia="zh-CN"/>
        </w:rPr>
        <w:t>method</w:t>
      </w:r>
      <w:r w:rsidRPr="00DC0382">
        <w:rPr>
          <w:rFonts w:eastAsiaTheme="minorEastAsia"/>
          <w:sz w:val="28"/>
          <w:szCs w:val="28"/>
          <w:lang w:val="en-US" w:eastAsia="zh-CN"/>
        </w:rPr>
        <w:t xml:space="preserve"> (</w:t>
      </w:r>
      <w:r w:rsidR="004B483B" w:rsidRPr="004B483B">
        <w:rPr>
          <w:rFonts w:eastAsiaTheme="minorEastAsia"/>
          <w:sz w:val="28"/>
          <w:szCs w:val="28"/>
          <w:lang w:val="en-US" w:eastAsia="zh-CN"/>
        </w:rPr>
        <w:t>«</w:t>
      </w:r>
      <w:proofErr w:type="spellStart"/>
      <w:r w:rsidR="004B483B">
        <w:rPr>
          <w:rFonts w:eastAsiaTheme="minorEastAsia"/>
          <w:sz w:val="28"/>
          <w:szCs w:val="28"/>
          <w:lang w:val="en-US" w:eastAsia="zh-CN"/>
        </w:rPr>
        <w:t>Hy</w:t>
      </w:r>
      <w:proofErr w:type="spellEnd"/>
      <w:r w:rsidR="004B483B">
        <w:rPr>
          <w:rFonts w:eastAsiaTheme="minorEastAsia"/>
          <w:sz w:val="28"/>
          <w:szCs w:val="28"/>
          <w:lang w:eastAsia="zh-CN"/>
        </w:rPr>
        <w:t>С</w:t>
      </w:r>
      <w:proofErr w:type="spellStart"/>
      <w:r w:rsidRPr="00DC0382">
        <w:rPr>
          <w:rFonts w:eastAsiaTheme="minorEastAsia"/>
          <w:sz w:val="28"/>
          <w:szCs w:val="28"/>
          <w:lang w:val="en-US" w:eastAsia="zh-CN"/>
        </w:rPr>
        <w:t>ult</w:t>
      </w:r>
      <w:proofErr w:type="spellEnd"/>
      <w:r w:rsidR="004B483B" w:rsidRPr="004B483B">
        <w:rPr>
          <w:rFonts w:eastAsiaTheme="minorEastAsia"/>
          <w:sz w:val="28"/>
          <w:szCs w:val="28"/>
          <w:lang w:val="en-US" w:eastAsia="zh-CN"/>
        </w:rPr>
        <w:t xml:space="preserve"> </w:t>
      </w:r>
      <w:r w:rsidRPr="00DC0382">
        <w:rPr>
          <w:rFonts w:eastAsiaTheme="minorEastAsia"/>
          <w:sz w:val="28"/>
          <w:szCs w:val="28"/>
          <w:lang w:val="en-US" w:eastAsia="zh-CN"/>
        </w:rPr>
        <w:t>biotechnology</w:t>
      </w:r>
      <w:r w:rsidR="004B483B" w:rsidRPr="004B483B">
        <w:rPr>
          <w:rFonts w:eastAsiaTheme="minorEastAsia"/>
          <w:sz w:val="28"/>
          <w:szCs w:val="28"/>
          <w:lang w:val="en-US" w:eastAsia="zh-CN"/>
        </w:rPr>
        <w:t>»</w:t>
      </w:r>
      <w:r w:rsidRPr="00DC0382">
        <w:rPr>
          <w:rFonts w:eastAsiaTheme="minorEastAsia"/>
          <w:sz w:val="28"/>
          <w:szCs w:val="28"/>
          <w:lang w:val="en-US" w:eastAsia="zh-CN"/>
        </w:rPr>
        <w:t>, Netherlands)</w:t>
      </w:r>
      <w:r w:rsidR="001755BA" w:rsidRPr="00DC0382">
        <w:rPr>
          <w:rFonts w:eastAsiaTheme="minorEastAsia"/>
          <w:sz w:val="28"/>
          <w:szCs w:val="28"/>
          <w:lang w:val="en-US" w:eastAsia="zh-CN"/>
        </w:rPr>
        <w:t>,</w:t>
      </w:r>
      <w:r w:rsidRPr="00DC0382">
        <w:rPr>
          <w:rFonts w:eastAsiaTheme="minorEastAsia"/>
          <w:sz w:val="28"/>
          <w:szCs w:val="28"/>
          <w:lang w:val="en-US" w:eastAsia="zh-CN"/>
        </w:rPr>
        <w:t xml:space="preserve"> </w:t>
      </w:r>
      <w:r w:rsidR="001755BA" w:rsidRPr="00DC0382">
        <w:rPr>
          <w:rFonts w:eastAsiaTheme="minorEastAsia"/>
          <w:sz w:val="28"/>
          <w:szCs w:val="28"/>
          <w:lang w:val="en-US" w:eastAsia="zh-CN"/>
        </w:rPr>
        <w:t>mcg/</w:t>
      </w:r>
      <w:r w:rsidRPr="00DC0382">
        <w:rPr>
          <w:rFonts w:eastAsiaTheme="minorEastAsia"/>
          <w:sz w:val="28"/>
          <w:szCs w:val="28"/>
          <w:lang w:val="en-US" w:eastAsia="zh-CN"/>
        </w:rPr>
        <w:t xml:space="preserve">ml. Determining the level of </w:t>
      </w:r>
      <w:proofErr w:type="spellStart"/>
      <w:r w:rsidR="001755BA" w:rsidRPr="00DC0382">
        <w:rPr>
          <w:rFonts w:eastAsiaTheme="minorEastAsia"/>
          <w:sz w:val="28"/>
          <w:szCs w:val="28"/>
          <w:lang w:val="en-US" w:eastAsia="zh-CN"/>
        </w:rPr>
        <w:t>IgG</w:t>
      </w:r>
      <w:proofErr w:type="spellEnd"/>
      <w:r w:rsidR="001755BA" w:rsidRPr="00DC0382">
        <w:rPr>
          <w:rFonts w:eastAsiaTheme="minorEastAsia"/>
          <w:sz w:val="28"/>
          <w:szCs w:val="28"/>
          <w:lang w:val="en-US" w:eastAsia="zh-CN"/>
        </w:rPr>
        <w:t xml:space="preserve"> (anti-LPS-</w:t>
      </w:r>
      <w:proofErr w:type="spellStart"/>
      <w:r w:rsidR="001755BA" w:rsidRPr="00DC0382">
        <w:rPr>
          <w:rFonts w:eastAsiaTheme="minorEastAsia"/>
          <w:sz w:val="28"/>
          <w:szCs w:val="28"/>
          <w:lang w:val="en-US" w:eastAsia="zh-CN"/>
        </w:rPr>
        <w:t>IgG</w:t>
      </w:r>
      <w:proofErr w:type="spellEnd"/>
      <w:r w:rsidR="001755BA" w:rsidRPr="00DC0382">
        <w:rPr>
          <w:rFonts w:eastAsiaTheme="minorEastAsia"/>
          <w:sz w:val="28"/>
          <w:szCs w:val="28"/>
          <w:lang w:val="en-US" w:eastAsia="zh-CN"/>
        </w:rPr>
        <w:t xml:space="preserve">), </w:t>
      </w:r>
      <w:proofErr w:type="spellStart"/>
      <w:r w:rsidR="001755BA" w:rsidRPr="00DC0382">
        <w:rPr>
          <w:rFonts w:eastAsiaTheme="minorEastAsia"/>
          <w:sz w:val="28"/>
          <w:szCs w:val="28"/>
          <w:lang w:val="en-US" w:eastAsia="zh-CN"/>
        </w:rPr>
        <w:t>IgM</w:t>
      </w:r>
      <w:proofErr w:type="spellEnd"/>
      <w:r w:rsidR="001755BA" w:rsidRPr="00DC0382">
        <w:rPr>
          <w:rFonts w:eastAsiaTheme="minorEastAsia"/>
          <w:sz w:val="28"/>
          <w:szCs w:val="28"/>
          <w:lang w:val="en-US" w:eastAsia="zh-CN"/>
        </w:rPr>
        <w:t xml:space="preserve"> (anti-LPS-</w:t>
      </w:r>
      <w:proofErr w:type="spellStart"/>
      <w:r w:rsidR="001755BA" w:rsidRPr="00DC0382">
        <w:rPr>
          <w:rFonts w:eastAsiaTheme="minorEastAsia"/>
          <w:sz w:val="28"/>
          <w:szCs w:val="28"/>
          <w:lang w:val="en-US" w:eastAsia="zh-CN"/>
        </w:rPr>
        <w:t>IgM</w:t>
      </w:r>
      <w:proofErr w:type="spellEnd"/>
      <w:r w:rsidR="001755BA" w:rsidRPr="00DC0382">
        <w:rPr>
          <w:rFonts w:eastAsiaTheme="minorEastAsia"/>
          <w:sz w:val="28"/>
          <w:szCs w:val="28"/>
          <w:lang w:val="en-US" w:eastAsia="zh-CN"/>
        </w:rPr>
        <w:t xml:space="preserve">), </w:t>
      </w:r>
      <w:proofErr w:type="spellStart"/>
      <w:r w:rsidR="001755BA" w:rsidRPr="00DC0382">
        <w:rPr>
          <w:rFonts w:eastAsiaTheme="minorEastAsia"/>
          <w:sz w:val="28"/>
          <w:szCs w:val="28"/>
          <w:lang w:val="en-US" w:eastAsia="zh-CN"/>
        </w:rPr>
        <w:t>IgA</w:t>
      </w:r>
      <w:proofErr w:type="spellEnd"/>
      <w:r w:rsidR="001755BA" w:rsidRPr="00DC0382">
        <w:rPr>
          <w:rFonts w:eastAsiaTheme="minorEastAsia"/>
          <w:sz w:val="28"/>
          <w:szCs w:val="28"/>
          <w:lang w:val="en-US" w:eastAsia="zh-CN"/>
        </w:rPr>
        <w:t xml:space="preserve"> (anti</w:t>
      </w:r>
      <w:r w:rsidRPr="00DC0382">
        <w:rPr>
          <w:rFonts w:eastAsiaTheme="minorEastAsia"/>
          <w:sz w:val="28"/>
          <w:szCs w:val="28"/>
          <w:lang w:val="en-US" w:eastAsia="zh-CN"/>
        </w:rPr>
        <w:t>-LPS-</w:t>
      </w:r>
      <w:proofErr w:type="spellStart"/>
      <w:r w:rsidRPr="00DC0382">
        <w:rPr>
          <w:rFonts w:eastAsiaTheme="minorEastAsia"/>
          <w:sz w:val="28"/>
          <w:szCs w:val="28"/>
          <w:lang w:val="en-US" w:eastAsia="zh-CN"/>
        </w:rPr>
        <w:t>IgA</w:t>
      </w:r>
      <w:proofErr w:type="spellEnd"/>
      <w:r w:rsidRPr="00DC0382">
        <w:rPr>
          <w:rFonts w:eastAsiaTheme="minorEastAsia"/>
          <w:sz w:val="28"/>
          <w:szCs w:val="28"/>
          <w:lang w:val="en-US" w:eastAsia="zh-CN"/>
        </w:rPr>
        <w:t xml:space="preserve">) </w:t>
      </w:r>
      <w:r w:rsidR="001755BA" w:rsidRPr="00DC0382">
        <w:rPr>
          <w:rFonts w:eastAsiaTheme="minorEastAsia"/>
          <w:sz w:val="28"/>
          <w:szCs w:val="28"/>
          <w:lang w:val="en-US" w:eastAsia="zh-CN"/>
        </w:rPr>
        <w:t xml:space="preserve">antibodies </w:t>
      </w:r>
      <w:r w:rsidRPr="00DC0382">
        <w:rPr>
          <w:rFonts w:eastAsiaTheme="minorEastAsia"/>
          <w:sz w:val="28"/>
          <w:szCs w:val="28"/>
          <w:lang w:val="en-US" w:eastAsia="zh-CN"/>
        </w:rPr>
        <w:t xml:space="preserve">separately </w:t>
      </w:r>
      <w:r w:rsidR="001755BA" w:rsidRPr="00DC0382">
        <w:rPr>
          <w:rFonts w:eastAsiaTheme="minorEastAsia"/>
          <w:sz w:val="28"/>
          <w:szCs w:val="28"/>
          <w:lang w:val="en-US" w:eastAsia="zh-CN"/>
        </w:rPr>
        <w:t>from</w:t>
      </w:r>
      <w:r w:rsidRPr="00DC0382">
        <w:rPr>
          <w:rFonts w:eastAsiaTheme="minorEastAsia"/>
          <w:sz w:val="28"/>
          <w:szCs w:val="28"/>
          <w:lang w:val="en-US" w:eastAsia="zh-CN"/>
        </w:rPr>
        <w:t xml:space="preserve"> </w:t>
      </w:r>
      <w:proofErr w:type="spellStart"/>
      <w:r w:rsidR="003F762A" w:rsidRPr="00DC0382">
        <w:rPr>
          <w:rFonts w:eastAsiaTheme="minorEastAsia"/>
          <w:sz w:val="28"/>
          <w:szCs w:val="28"/>
          <w:lang w:val="en-US" w:eastAsia="zh-CN"/>
        </w:rPr>
        <w:t>endotoxin</w:t>
      </w:r>
      <w:proofErr w:type="spellEnd"/>
      <w:r w:rsidR="003F762A" w:rsidRPr="00DC0382">
        <w:rPr>
          <w:rFonts w:eastAsiaTheme="minorEastAsia"/>
          <w:sz w:val="28"/>
          <w:szCs w:val="28"/>
          <w:lang w:val="en-US" w:eastAsia="zh-CN"/>
        </w:rPr>
        <w:t xml:space="preserve"> </w:t>
      </w:r>
      <w:r w:rsidR="001755BA" w:rsidRPr="00DC0382">
        <w:rPr>
          <w:rFonts w:eastAsiaTheme="minorEastAsia"/>
          <w:sz w:val="28"/>
          <w:szCs w:val="28"/>
          <w:lang w:val="en-US" w:eastAsia="zh-CN"/>
        </w:rPr>
        <w:t>core</w:t>
      </w:r>
      <w:r w:rsidRPr="00DC0382">
        <w:rPr>
          <w:rFonts w:eastAsiaTheme="minorEastAsia"/>
          <w:sz w:val="28"/>
          <w:szCs w:val="28"/>
          <w:lang w:val="en-US" w:eastAsia="zh-CN"/>
        </w:rPr>
        <w:t xml:space="preserve">-region was conducted by a quantitative method in </w:t>
      </w:r>
      <w:r w:rsidR="003F762A" w:rsidRPr="00DC0382">
        <w:rPr>
          <w:rFonts w:eastAsiaTheme="minorEastAsia"/>
          <w:sz w:val="28"/>
          <w:szCs w:val="28"/>
          <w:lang w:val="en-US" w:eastAsia="zh-CN"/>
        </w:rPr>
        <w:t xml:space="preserve">the </w:t>
      </w:r>
      <w:r w:rsidRPr="00DC0382">
        <w:rPr>
          <w:rFonts w:eastAsiaTheme="minorEastAsia"/>
          <w:sz w:val="28"/>
          <w:szCs w:val="28"/>
          <w:lang w:val="en-US" w:eastAsia="zh-CN"/>
        </w:rPr>
        <w:t xml:space="preserve">blood serum </w:t>
      </w:r>
      <w:r w:rsidR="003F762A" w:rsidRPr="00DC0382">
        <w:rPr>
          <w:rFonts w:eastAsiaTheme="minorEastAsia"/>
          <w:sz w:val="28"/>
          <w:szCs w:val="28"/>
          <w:lang w:val="en-US" w:eastAsia="zh-CN"/>
        </w:rPr>
        <w:t xml:space="preserve">with the use of </w:t>
      </w:r>
      <w:r w:rsidRPr="00DC0382">
        <w:rPr>
          <w:rFonts w:eastAsiaTheme="minorEastAsia"/>
          <w:sz w:val="28"/>
          <w:szCs w:val="28"/>
          <w:lang w:val="en-US" w:eastAsia="zh-CN"/>
        </w:rPr>
        <w:t>kit «</w:t>
      </w:r>
      <w:proofErr w:type="spellStart"/>
      <w:r w:rsidRPr="00DC0382">
        <w:rPr>
          <w:rFonts w:eastAsiaTheme="minorEastAsia"/>
          <w:sz w:val="28"/>
          <w:szCs w:val="28"/>
          <w:lang w:val="en-US" w:eastAsia="zh-CN"/>
        </w:rPr>
        <w:t>EndoCab</w:t>
      </w:r>
      <w:proofErr w:type="spellEnd"/>
      <w:r w:rsidRPr="00DC0382">
        <w:rPr>
          <w:rFonts w:eastAsiaTheme="minorEastAsia"/>
          <w:sz w:val="28"/>
          <w:szCs w:val="28"/>
          <w:lang w:val="en-US" w:eastAsia="zh-CN"/>
        </w:rPr>
        <w:t>» ELISA (</w:t>
      </w:r>
      <w:r w:rsidR="004B483B" w:rsidRPr="004B483B">
        <w:rPr>
          <w:rFonts w:eastAsiaTheme="minorEastAsia"/>
          <w:sz w:val="28"/>
          <w:szCs w:val="28"/>
          <w:lang w:val="en-US" w:eastAsia="zh-CN"/>
        </w:rPr>
        <w:t>«</w:t>
      </w:r>
      <w:proofErr w:type="spellStart"/>
      <w:r w:rsidR="004B483B">
        <w:rPr>
          <w:rFonts w:eastAsiaTheme="minorEastAsia"/>
          <w:sz w:val="28"/>
          <w:szCs w:val="28"/>
          <w:lang w:val="en-US" w:eastAsia="zh-CN"/>
        </w:rPr>
        <w:t>Hy</w:t>
      </w:r>
      <w:proofErr w:type="spellEnd"/>
      <w:r w:rsidR="004B483B">
        <w:rPr>
          <w:rFonts w:eastAsiaTheme="minorEastAsia"/>
          <w:sz w:val="28"/>
          <w:szCs w:val="28"/>
          <w:lang w:eastAsia="zh-CN"/>
        </w:rPr>
        <w:t>С</w:t>
      </w:r>
      <w:proofErr w:type="spellStart"/>
      <w:r w:rsidRPr="00DC0382">
        <w:rPr>
          <w:rFonts w:eastAsiaTheme="minorEastAsia"/>
          <w:sz w:val="28"/>
          <w:szCs w:val="28"/>
          <w:lang w:val="en-US" w:eastAsia="zh-CN"/>
        </w:rPr>
        <w:t>ult</w:t>
      </w:r>
      <w:proofErr w:type="spellEnd"/>
      <w:r w:rsidR="004B483B" w:rsidRPr="004B483B">
        <w:rPr>
          <w:rFonts w:eastAsiaTheme="minorEastAsia"/>
          <w:sz w:val="28"/>
          <w:szCs w:val="28"/>
          <w:lang w:val="en-US" w:eastAsia="zh-CN"/>
        </w:rPr>
        <w:t xml:space="preserve"> </w:t>
      </w:r>
      <w:r w:rsidRPr="00DC0382">
        <w:rPr>
          <w:rFonts w:eastAsiaTheme="minorEastAsia"/>
          <w:sz w:val="28"/>
          <w:szCs w:val="28"/>
          <w:lang w:val="en-US" w:eastAsia="zh-CN"/>
        </w:rPr>
        <w:t>biotechnology</w:t>
      </w:r>
      <w:r w:rsidR="004B483B" w:rsidRPr="004B483B">
        <w:rPr>
          <w:rFonts w:eastAsiaTheme="minorEastAsia"/>
          <w:sz w:val="28"/>
          <w:szCs w:val="28"/>
          <w:lang w:val="en-US" w:eastAsia="zh-CN"/>
        </w:rPr>
        <w:t>»</w:t>
      </w:r>
      <w:r w:rsidRPr="00DC0382">
        <w:rPr>
          <w:rFonts w:eastAsiaTheme="minorEastAsia"/>
          <w:sz w:val="28"/>
          <w:szCs w:val="28"/>
          <w:lang w:val="en-US" w:eastAsia="zh-CN"/>
        </w:rPr>
        <w:t>, Netherlands) by ELISA</w:t>
      </w:r>
      <w:r w:rsidR="00CC5B7A">
        <w:rPr>
          <w:rFonts w:eastAsiaTheme="minorEastAsia"/>
          <w:sz w:val="28"/>
          <w:szCs w:val="28"/>
          <w:lang w:val="en-US" w:eastAsia="zh-CN"/>
        </w:rPr>
        <w:t xml:space="preserve"> </w:t>
      </w:r>
      <w:r w:rsidR="003F762A" w:rsidRPr="00DC0382">
        <w:rPr>
          <w:rFonts w:eastAsiaTheme="minorEastAsia"/>
          <w:sz w:val="28"/>
          <w:szCs w:val="28"/>
          <w:lang w:val="en-US" w:eastAsia="zh-CN"/>
        </w:rPr>
        <w:t>method, MU/ml. LPS</w:t>
      </w:r>
      <w:r w:rsidRPr="00DC0382">
        <w:rPr>
          <w:rFonts w:eastAsiaTheme="minorEastAsia"/>
          <w:sz w:val="28"/>
          <w:szCs w:val="28"/>
          <w:lang w:val="en-US" w:eastAsia="zh-CN"/>
        </w:rPr>
        <w:t xml:space="preserve"> </w:t>
      </w:r>
      <w:r w:rsidR="001C20D6" w:rsidRPr="00DC0382">
        <w:rPr>
          <w:rFonts w:eastAsiaTheme="minorEastAsia"/>
          <w:sz w:val="28"/>
          <w:szCs w:val="28"/>
          <w:lang w:val="en-US" w:eastAsia="zh-CN"/>
        </w:rPr>
        <w:t xml:space="preserve">received </w:t>
      </w:r>
      <w:r w:rsidRPr="00DC0382">
        <w:rPr>
          <w:rFonts w:eastAsiaTheme="minorEastAsia"/>
          <w:sz w:val="28"/>
          <w:szCs w:val="28"/>
          <w:lang w:val="en-US" w:eastAsia="zh-CN"/>
        </w:rPr>
        <w:t xml:space="preserve">from </w:t>
      </w:r>
      <w:r w:rsidR="001C20D6" w:rsidRPr="00DC0382">
        <w:rPr>
          <w:rFonts w:eastAsiaTheme="minorEastAsia"/>
          <w:sz w:val="28"/>
          <w:szCs w:val="28"/>
          <w:lang w:val="en-US" w:eastAsia="zh-CN"/>
        </w:rPr>
        <w:t>such</w:t>
      </w:r>
      <w:r w:rsidRPr="00DC0382">
        <w:rPr>
          <w:rFonts w:eastAsiaTheme="minorEastAsia"/>
          <w:sz w:val="28"/>
          <w:szCs w:val="28"/>
          <w:lang w:val="en-US" w:eastAsia="zh-CN"/>
        </w:rPr>
        <w:t xml:space="preserve"> four </w:t>
      </w:r>
      <w:r w:rsidR="003F762A" w:rsidRPr="00DC0382">
        <w:rPr>
          <w:rFonts w:eastAsiaTheme="minorEastAsia"/>
          <w:sz w:val="28"/>
          <w:szCs w:val="28"/>
          <w:lang w:val="en-US" w:eastAsia="zh-CN"/>
        </w:rPr>
        <w:t>types of gram-negative bacteria</w:t>
      </w:r>
      <w:r w:rsidR="001C20D6" w:rsidRPr="00DC0382">
        <w:rPr>
          <w:rFonts w:eastAsiaTheme="minorEastAsia"/>
          <w:sz w:val="28"/>
          <w:szCs w:val="28"/>
          <w:lang w:val="en-US" w:eastAsia="zh-CN"/>
        </w:rPr>
        <w:t xml:space="preserve"> as</w:t>
      </w:r>
      <w:r w:rsidRPr="00DC0382">
        <w:rPr>
          <w:rFonts w:eastAsiaTheme="minorEastAsia"/>
          <w:sz w:val="28"/>
          <w:szCs w:val="28"/>
          <w:lang w:val="en-US" w:eastAsia="zh-CN"/>
        </w:rPr>
        <w:t xml:space="preserve"> Escherichia</w:t>
      </w:r>
      <w:r w:rsidR="004B483B" w:rsidRPr="004B483B">
        <w:rPr>
          <w:rFonts w:eastAsiaTheme="minorEastAsia"/>
          <w:sz w:val="28"/>
          <w:szCs w:val="28"/>
          <w:lang w:val="en-US" w:eastAsia="zh-CN"/>
        </w:rPr>
        <w:t xml:space="preserve"> </w:t>
      </w:r>
      <w:r w:rsidRPr="00DC0382">
        <w:rPr>
          <w:rFonts w:eastAsiaTheme="minorEastAsia"/>
          <w:sz w:val="28"/>
          <w:szCs w:val="28"/>
          <w:lang w:val="en-US" w:eastAsia="zh-CN"/>
        </w:rPr>
        <w:t>coli, Salmonella</w:t>
      </w:r>
      <w:r w:rsidR="004B483B" w:rsidRPr="004B483B">
        <w:rPr>
          <w:rFonts w:eastAsiaTheme="minorEastAsia"/>
          <w:sz w:val="28"/>
          <w:szCs w:val="28"/>
          <w:lang w:val="en-US" w:eastAsia="zh-CN"/>
        </w:rPr>
        <w:t xml:space="preserve"> </w:t>
      </w:r>
      <w:proofErr w:type="spellStart"/>
      <w:r w:rsidRPr="00DC0382">
        <w:rPr>
          <w:rFonts w:eastAsiaTheme="minorEastAsia"/>
          <w:sz w:val="28"/>
          <w:szCs w:val="28"/>
          <w:lang w:val="en-US" w:eastAsia="zh-CN"/>
        </w:rPr>
        <w:t>typhimurium</w:t>
      </w:r>
      <w:proofErr w:type="spellEnd"/>
      <w:r w:rsidRPr="00DC0382">
        <w:rPr>
          <w:rFonts w:eastAsiaTheme="minorEastAsia"/>
          <w:sz w:val="28"/>
          <w:szCs w:val="28"/>
          <w:lang w:val="en-US" w:eastAsia="zh-CN"/>
        </w:rPr>
        <w:t xml:space="preserve">, </w:t>
      </w:r>
      <w:proofErr w:type="spellStart"/>
      <w:r w:rsidRPr="00DC0382">
        <w:rPr>
          <w:rFonts w:eastAsiaTheme="minorEastAsia"/>
          <w:sz w:val="28"/>
          <w:szCs w:val="28"/>
          <w:lang w:val="en-US" w:eastAsia="zh-CN"/>
        </w:rPr>
        <w:t>Klebsiella</w:t>
      </w:r>
      <w:proofErr w:type="spellEnd"/>
      <w:r w:rsidR="004B483B" w:rsidRPr="004B483B">
        <w:rPr>
          <w:rFonts w:eastAsiaTheme="minorEastAsia"/>
          <w:sz w:val="28"/>
          <w:szCs w:val="28"/>
          <w:lang w:val="en-US" w:eastAsia="zh-CN"/>
        </w:rPr>
        <w:t xml:space="preserve"> </w:t>
      </w:r>
      <w:proofErr w:type="spellStart"/>
      <w:r w:rsidRPr="00DC0382">
        <w:rPr>
          <w:rFonts w:eastAsiaTheme="minorEastAsia"/>
          <w:sz w:val="28"/>
          <w:szCs w:val="28"/>
          <w:lang w:val="en-US" w:eastAsia="zh-CN"/>
        </w:rPr>
        <w:t>aerogenes</w:t>
      </w:r>
      <w:proofErr w:type="spellEnd"/>
      <w:r w:rsidRPr="00DC0382">
        <w:rPr>
          <w:rFonts w:eastAsiaTheme="minorEastAsia"/>
          <w:sz w:val="28"/>
          <w:szCs w:val="28"/>
          <w:lang w:val="en-US" w:eastAsia="zh-CN"/>
        </w:rPr>
        <w:t>, Pseudomonas</w:t>
      </w:r>
      <w:r w:rsidR="004B483B" w:rsidRPr="004B483B">
        <w:rPr>
          <w:rFonts w:eastAsiaTheme="minorEastAsia"/>
          <w:sz w:val="28"/>
          <w:szCs w:val="28"/>
          <w:lang w:val="en-US" w:eastAsia="zh-CN"/>
        </w:rPr>
        <w:t xml:space="preserve"> </w:t>
      </w:r>
      <w:proofErr w:type="spellStart"/>
      <w:r w:rsidRPr="00DC0382">
        <w:rPr>
          <w:rFonts w:eastAsiaTheme="minorEastAsia"/>
          <w:sz w:val="28"/>
          <w:szCs w:val="28"/>
          <w:lang w:val="en-US" w:eastAsia="zh-CN"/>
        </w:rPr>
        <w:t>aeruginosa</w:t>
      </w:r>
      <w:proofErr w:type="spellEnd"/>
      <w:r w:rsidR="001C20D6" w:rsidRPr="00DC0382">
        <w:rPr>
          <w:rFonts w:eastAsiaTheme="minorEastAsia"/>
          <w:sz w:val="28"/>
          <w:szCs w:val="28"/>
          <w:lang w:val="en-US" w:eastAsia="zh-CN"/>
        </w:rPr>
        <w:t xml:space="preserve"> were used as antigen</w:t>
      </w:r>
      <w:r w:rsidRPr="00DC0382">
        <w:rPr>
          <w:rFonts w:eastAsiaTheme="minorEastAsia"/>
          <w:sz w:val="28"/>
          <w:szCs w:val="28"/>
          <w:lang w:val="en-US" w:eastAsia="zh-CN"/>
        </w:rPr>
        <w:t xml:space="preserve">. Each of LPS contained entirely </w:t>
      </w:r>
      <w:r w:rsidR="001C20D6" w:rsidRPr="00DC0382">
        <w:rPr>
          <w:rFonts w:eastAsiaTheme="minorEastAsia"/>
          <w:sz w:val="28"/>
          <w:szCs w:val="28"/>
          <w:lang w:val="en-US" w:eastAsia="zh-CN"/>
        </w:rPr>
        <w:t>inner core-</w:t>
      </w:r>
      <w:r w:rsidRPr="00DC0382">
        <w:rPr>
          <w:rFonts w:eastAsiaTheme="minorEastAsia"/>
          <w:sz w:val="28"/>
          <w:szCs w:val="28"/>
          <w:lang w:val="en-US" w:eastAsia="zh-CN"/>
        </w:rPr>
        <w:t xml:space="preserve">part, but external </w:t>
      </w:r>
      <w:r w:rsidR="001C20D6" w:rsidRPr="00DC0382">
        <w:rPr>
          <w:rFonts w:eastAsiaTheme="minorEastAsia"/>
          <w:sz w:val="28"/>
          <w:szCs w:val="28"/>
          <w:lang w:val="en-US" w:eastAsia="zh-CN"/>
        </w:rPr>
        <w:t xml:space="preserve">one </w:t>
      </w:r>
      <w:r w:rsidRPr="00DC0382">
        <w:rPr>
          <w:rFonts w:eastAsiaTheme="minorEastAsia"/>
          <w:sz w:val="28"/>
          <w:szCs w:val="28"/>
          <w:lang w:val="en-US" w:eastAsia="zh-CN"/>
        </w:rPr>
        <w:t>or part of O-specific polysaccharide chain</w:t>
      </w:r>
      <w:r w:rsidR="001C20D6" w:rsidRPr="00DC0382">
        <w:rPr>
          <w:rFonts w:eastAsiaTheme="minorEastAsia"/>
          <w:sz w:val="28"/>
          <w:szCs w:val="28"/>
          <w:lang w:val="en-US" w:eastAsia="zh-CN"/>
        </w:rPr>
        <w:t xml:space="preserve"> was absent</w:t>
      </w:r>
      <w:r w:rsidRPr="00DC0382">
        <w:rPr>
          <w:rFonts w:eastAsiaTheme="minorEastAsia"/>
          <w:sz w:val="28"/>
          <w:szCs w:val="28"/>
          <w:lang w:val="en-US" w:eastAsia="zh-CN"/>
        </w:rPr>
        <w:t>.</w:t>
      </w:r>
    </w:p>
    <w:p w:rsidR="00AD295E" w:rsidRPr="00DC0382" w:rsidRDefault="001C20D6" w:rsidP="00BC7970">
      <w:pPr>
        <w:spacing w:after="0" w:line="360" w:lineRule="auto"/>
        <w:ind w:firstLine="709"/>
        <w:jc w:val="both"/>
        <w:rPr>
          <w:rFonts w:eastAsiaTheme="minorEastAsia"/>
          <w:sz w:val="28"/>
          <w:szCs w:val="28"/>
          <w:lang w:val="en-US" w:eastAsia="zh-CN"/>
        </w:rPr>
      </w:pPr>
      <w:proofErr w:type="gramStart"/>
      <w:r w:rsidRPr="00DC0382">
        <w:rPr>
          <w:rFonts w:eastAsiaTheme="minorEastAsia"/>
          <w:b/>
          <w:sz w:val="28"/>
          <w:szCs w:val="28"/>
          <w:lang w:val="en-US" w:eastAsia="zh-CN"/>
        </w:rPr>
        <w:t>Results and discussion</w:t>
      </w:r>
      <w:r w:rsidR="00BC7970" w:rsidRPr="00DC0382">
        <w:rPr>
          <w:rFonts w:eastAsiaTheme="minorEastAsia"/>
          <w:b/>
          <w:sz w:val="28"/>
          <w:szCs w:val="28"/>
          <w:lang w:val="en-US" w:eastAsia="zh-CN"/>
        </w:rPr>
        <w:t>.</w:t>
      </w:r>
      <w:proofErr w:type="gramEnd"/>
      <w:r w:rsidR="00A34F57" w:rsidRPr="00DC0382">
        <w:rPr>
          <w:rFonts w:eastAsiaTheme="minorEastAsia"/>
          <w:b/>
          <w:sz w:val="28"/>
          <w:szCs w:val="28"/>
          <w:lang w:val="en-US" w:eastAsia="zh-CN"/>
        </w:rPr>
        <w:t xml:space="preserve"> </w:t>
      </w:r>
      <w:r w:rsidR="00AD295E" w:rsidRPr="00DC0382">
        <w:rPr>
          <w:rFonts w:eastAsiaTheme="minorEastAsia"/>
          <w:sz w:val="28"/>
          <w:szCs w:val="28"/>
          <w:lang w:val="en-US" w:eastAsia="zh-CN"/>
        </w:rPr>
        <w:t xml:space="preserve">Upon the hydrogen breath test with </w:t>
      </w:r>
      <w:proofErr w:type="spellStart"/>
      <w:r w:rsidR="00AD295E" w:rsidRPr="00DC0382">
        <w:rPr>
          <w:rFonts w:eastAsiaTheme="minorEastAsia"/>
          <w:sz w:val="28"/>
          <w:szCs w:val="28"/>
          <w:lang w:val="en-US" w:eastAsia="zh-CN"/>
        </w:rPr>
        <w:t>lactulose</w:t>
      </w:r>
      <w:proofErr w:type="spellEnd"/>
      <w:r w:rsidR="00AD295E" w:rsidRPr="00DC0382">
        <w:rPr>
          <w:rFonts w:eastAsiaTheme="minorEastAsia"/>
          <w:sz w:val="28"/>
          <w:szCs w:val="28"/>
          <w:lang w:val="en-US" w:eastAsia="zh-CN"/>
        </w:rPr>
        <w:t xml:space="preserve"> load, it </w:t>
      </w:r>
      <w:r w:rsidR="00CC5B7A">
        <w:rPr>
          <w:rFonts w:eastAsiaTheme="minorEastAsia"/>
          <w:sz w:val="28"/>
          <w:szCs w:val="28"/>
          <w:lang w:val="en-US" w:eastAsia="zh-CN"/>
        </w:rPr>
        <w:t>is</w:t>
      </w:r>
      <w:r w:rsidR="00AD295E" w:rsidRPr="00DC0382">
        <w:rPr>
          <w:rFonts w:eastAsiaTheme="minorEastAsia"/>
          <w:sz w:val="28"/>
          <w:szCs w:val="28"/>
          <w:lang w:val="en-US" w:eastAsia="zh-CN"/>
        </w:rPr>
        <w:t xml:space="preserve"> stated that translocation of the colon bacterial flora into the small intestine was </w:t>
      </w:r>
      <w:r w:rsidR="00CC5B7A">
        <w:rPr>
          <w:rFonts w:eastAsiaTheme="minorEastAsia"/>
          <w:sz w:val="28"/>
          <w:szCs w:val="28"/>
          <w:lang w:val="en-US" w:eastAsia="zh-CN"/>
        </w:rPr>
        <w:t>typical</w:t>
      </w:r>
      <w:r w:rsidR="00AD295E" w:rsidRPr="00DC0382">
        <w:rPr>
          <w:rFonts w:eastAsiaTheme="minorEastAsia"/>
          <w:sz w:val="28"/>
          <w:szCs w:val="28"/>
          <w:lang w:val="en-US" w:eastAsia="zh-CN"/>
        </w:rPr>
        <w:t xml:space="preserve"> for children with destructive changes in the duodenal mucosa. Thus, S</w:t>
      </w:r>
      <w:r w:rsidR="00CD554A">
        <w:rPr>
          <w:rFonts w:eastAsiaTheme="minorEastAsia"/>
          <w:sz w:val="28"/>
          <w:szCs w:val="28"/>
          <w:lang w:val="en-US" w:eastAsia="zh-CN"/>
        </w:rPr>
        <w:t>IBO was diagnosed in 19 (95</w:t>
      </w:r>
      <w:proofErr w:type="gramStart"/>
      <w:r w:rsidR="00CD554A">
        <w:rPr>
          <w:rFonts w:eastAsiaTheme="minorEastAsia"/>
          <w:sz w:val="28"/>
          <w:szCs w:val="28"/>
          <w:lang w:val="en-US" w:eastAsia="zh-CN"/>
        </w:rPr>
        <w:t>,0</w:t>
      </w:r>
      <w:proofErr w:type="gramEnd"/>
      <w:r w:rsidR="00CD554A">
        <w:rPr>
          <w:rFonts w:eastAsiaTheme="minorEastAsia"/>
          <w:sz w:val="28"/>
          <w:szCs w:val="28"/>
          <w:lang w:val="en-US" w:eastAsia="zh-CN"/>
        </w:rPr>
        <w:t>±4,</w:t>
      </w:r>
      <w:r w:rsidR="00AD295E" w:rsidRPr="00DC0382">
        <w:rPr>
          <w:rFonts w:eastAsiaTheme="minorEastAsia"/>
          <w:sz w:val="28"/>
          <w:szCs w:val="28"/>
          <w:lang w:val="en-US" w:eastAsia="zh-CN"/>
        </w:rPr>
        <w:t xml:space="preserve">9%) patients with duodenal </w:t>
      </w:r>
      <w:r w:rsidR="00D9546A" w:rsidRPr="00DC0382">
        <w:rPr>
          <w:rFonts w:eastAsiaTheme="minorEastAsia"/>
          <w:sz w:val="28"/>
          <w:szCs w:val="28"/>
          <w:lang w:val="en-US" w:eastAsia="zh-CN"/>
        </w:rPr>
        <w:t>UD</w:t>
      </w:r>
      <w:r w:rsidR="00AD295E" w:rsidRPr="00DC0382">
        <w:rPr>
          <w:rFonts w:eastAsiaTheme="minorEastAsia"/>
          <w:sz w:val="28"/>
          <w:szCs w:val="28"/>
          <w:lang w:val="en-US" w:eastAsia="zh-CN"/>
        </w:rPr>
        <w:t xml:space="preserve"> and 30 (75</w:t>
      </w:r>
      <w:r w:rsidR="00CD554A">
        <w:rPr>
          <w:rFonts w:eastAsiaTheme="minorEastAsia"/>
          <w:sz w:val="28"/>
          <w:szCs w:val="28"/>
          <w:lang w:val="en-US" w:eastAsia="zh-CN"/>
        </w:rPr>
        <w:t>,0±6,</w:t>
      </w:r>
      <w:r w:rsidR="00AD295E" w:rsidRPr="00DC0382">
        <w:rPr>
          <w:rFonts w:eastAsiaTheme="minorEastAsia"/>
          <w:sz w:val="28"/>
          <w:szCs w:val="28"/>
          <w:lang w:val="en-US" w:eastAsia="zh-CN"/>
        </w:rPr>
        <w:t xml:space="preserve">8%) </w:t>
      </w:r>
      <w:r w:rsidR="00D9546A" w:rsidRPr="00DC0382">
        <w:rPr>
          <w:rFonts w:eastAsiaTheme="minorEastAsia"/>
          <w:sz w:val="28"/>
          <w:szCs w:val="28"/>
          <w:lang w:val="en-US" w:eastAsia="zh-CN"/>
        </w:rPr>
        <w:t>patients</w:t>
      </w:r>
      <w:r w:rsidR="00AD295E" w:rsidRPr="00DC0382">
        <w:rPr>
          <w:rFonts w:eastAsiaTheme="minorEastAsia"/>
          <w:sz w:val="28"/>
          <w:szCs w:val="28"/>
          <w:lang w:val="en-US" w:eastAsia="zh-CN"/>
        </w:rPr>
        <w:t xml:space="preserve"> with EB. </w:t>
      </w:r>
      <w:r w:rsidR="00CD554A">
        <w:rPr>
          <w:rFonts w:eastAsiaTheme="minorEastAsia"/>
          <w:sz w:val="28"/>
          <w:szCs w:val="28"/>
          <w:lang w:val="en-US" w:eastAsia="zh-CN"/>
        </w:rPr>
        <w:t>SIBO was detected in 2 (10</w:t>
      </w:r>
      <w:proofErr w:type="gramStart"/>
      <w:r w:rsidR="00CD554A">
        <w:rPr>
          <w:rFonts w:eastAsiaTheme="minorEastAsia"/>
          <w:sz w:val="28"/>
          <w:szCs w:val="28"/>
          <w:lang w:val="en-US" w:eastAsia="zh-CN"/>
        </w:rPr>
        <w:t>,</w:t>
      </w:r>
      <w:r w:rsidR="00D9546A" w:rsidRPr="00DC0382">
        <w:rPr>
          <w:rFonts w:eastAsiaTheme="minorEastAsia"/>
          <w:sz w:val="28"/>
          <w:szCs w:val="28"/>
          <w:lang w:val="en-US" w:eastAsia="zh-CN"/>
        </w:rPr>
        <w:t>0</w:t>
      </w:r>
      <w:proofErr w:type="gramEnd"/>
      <w:r w:rsidR="00D9546A" w:rsidRPr="00DC0382">
        <w:rPr>
          <w:rFonts w:eastAsiaTheme="minorEastAsia"/>
          <w:sz w:val="28"/>
          <w:szCs w:val="28"/>
          <w:lang w:val="en-US" w:eastAsia="zh-CN"/>
        </w:rPr>
        <w:t>±6</w:t>
      </w:r>
      <w:r w:rsidR="00CD554A">
        <w:rPr>
          <w:rFonts w:eastAsiaTheme="minorEastAsia"/>
          <w:sz w:val="28"/>
          <w:szCs w:val="28"/>
          <w:lang w:val="en-US" w:eastAsia="zh-CN"/>
        </w:rPr>
        <w:t>,</w:t>
      </w:r>
      <w:r w:rsidR="00D9546A" w:rsidRPr="00DC0382">
        <w:rPr>
          <w:rFonts w:eastAsiaTheme="minorEastAsia"/>
          <w:sz w:val="28"/>
          <w:szCs w:val="28"/>
          <w:lang w:val="en-US" w:eastAsia="zh-CN"/>
        </w:rPr>
        <w:t xml:space="preserve">7%) </w:t>
      </w:r>
      <w:r w:rsidR="00AD295E" w:rsidRPr="00DC0382">
        <w:rPr>
          <w:rFonts w:eastAsiaTheme="minorEastAsia"/>
          <w:sz w:val="28"/>
          <w:szCs w:val="28"/>
          <w:lang w:val="en-US" w:eastAsia="zh-CN"/>
        </w:rPr>
        <w:t>patients of the control group.</w:t>
      </w:r>
    </w:p>
    <w:p w:rsidR="002874BA" w:rsidRPr="00DC0382" w:rsidRDefault="002874BA" w:rsidP="00BC7970">
      <w:pPr>
        <w:spacing w:after="0" w:line="360" w:lineRule="auto"/>
        <w:ind w:firstLine="709"/>
        <w:jc w:val="both"/>
        <w:rPr>
          <w:rFonts w:eastAsiaTheme="minorEastAsia"/>
          <w:sz w:val="28"/>
          <w:szCs w:val="28"/>
          <w:lang w:val="en-US" w:eastAsia="zh-CN"/>
        </w:rPr>
      </w:pPr>
      <w:r w:rsidRPr="00DC0382">
        <w:rPr>
          <w:rFonts w:eastAsiaTheme="minorEastAsia"/>
          <w:sz w:val="28"/>
          <w:szCs w:val="28"/>
          <w:lang w:val="en-US" w:eastAsia="zh-CN"/>
        </w:rPr>
        <w:t xml:space="preserve">It </w:t>
      </w:r>
      <w:r w:rsidR="00CC5B7A">
        <w:rPr>
          <w:rFonts w:eastAsiaTheme="minorEastAsia"/>
          <w:sz w:val="28"/>
          <w:szCs w:val="28"/>
          <w:lang w:val="en-US" w:eastAsia="zh-CN"/>
        </w:rPr>
        <w:t>is</w:t>
      </w:r>
      <w:r w:rsidRPr="00DC0382">
        <w:rPr>
          <w:rFonts w:eastAsiaTheme="minorEastAsia"/>
          <w:sz w:val="28"/>
          <w:szCs w:val="28"/>
          <w:lang w:val="en-US" w:eastAsia="zh-CN"/>
        </w:rPr>
        <w:t xml:space="preserve"> stated that the level of systemic </w:t>
      </w:r>
      <w:proofErr w:type="spellStart"/>
      <w:r w:rsidRPr="00DC0382">
        <w:rPr>
          <w:rFonts w:eastAsiaTheme="minorEastAsia"/>
          <w:sz w:val="28"/>
          <w:szCs w:val="28"/>
          <w:lang w:val="en-US" w:eastAsia="zh-CN"/>
        </w:rPr>
        <w:t>endotoxinemia</w:t>
      </w:r>
      <w:proofErr w:type="spellEnd"/>
      <w:r w:rsidRPr="00DC0382">
        <w:rPr>
          <w:rFonts w:eastAsiaTheme="minorEastAsia"/>
          <w:sz w:val="28"/>
          <w:szCs w:val="28"/>
          <w:lang w:val="en-US" w:eastAsia="zh-CN"/>
        </w:rPr>
        <w:t xml:space="preserve"> in examined patients, regardless of the depth of the lesions of </w:t>
      </w:r>
      <w:proofErr w:type="spellStart"/>
      <w:r w:rsidRPr="00DC0382">
        <w:rPr>
          <w:rFonts w:eastAsiaTheme="minorEastAsia"/>
          <w:sz w:val="28"/>
          <w:szCs w:val="28"/>
          <w:lang w:val="en-US" w:eastAsia="zh-CN"/>
        </w:rPr>
        <w:t>gastroduodenal</w:t>
      </w:r>
      <w:proofErr w:type="spellEnd"/>
      <w:r w:rsidRPr="00DC0382">
        <w:rPr>
          <w:rFonts w:eastAsiaTheme="minorEastAsia"/>
          <w:sz w:val="28"/>
          <w:szCs w:val="28"/>
          <w:lang w:val="en-US" w:eastAsia="zh-CN"/>
        </w:rPr>
        <w:t xml:space="preserve"> zone muc</w:t>
      </w:r>
      <w:r w:rsidR="00CD554A">
        <w:rPr>
          <w:rFonts w:eastAsiaTheme="minorEastAsia"/>
          <w:sz w:val="28"/>
          <w:szCs w:val="28"/>
          <w:lang w:val="en-US" w:eastAsia="zh-CN"/>
        </w:rPr>
        <w:t>osa significantly exceeded (p&lt;0,</w:t>
      </w:r>
      <w:r w:rsidRPr="00DC0382">
        <w:rPr>
          <w:rFonts w:eastAsiaTheme="minorEastAsia"/>
          <w:sz w:val="28"/>
          <w:szCs w:val="28"/>
          <w:lang w:val="en-US" w:eastAsia="zh-CN"/>
        </w:rPr>
        <w:t xml:space="preserve">001) </w:t>
      </w:r>
      <w:r w:rsidR="00CD554A">
        <w:rPr>
          <w:rFonts w:eastAsiaTheme="minorEastAsia"/>
          <w:sz w:val="28"/>
          <w:szCs w:val="28"/>
          <w:lang w:val="en-US" w:eastAsia="zh-CN"/>
        </w:rPr>
        <w:t>indices of the control group (0,</w:t>
      </w:r>
      <w:r w:rsidRPr="00DC0382">
        <w:rPr>
          <w:rFonts w:eastAsiaTheme="minorEastAsia"/>
          <w:sz w:val="28"/>
          <w:szCs w:val="28"/>
          <w:lang w:val="en-US" w:eastAsia="zh-CN"/>
        </w:rPr>
        <w:t xml:space="preserve">52±0,1 EU/ml), and was equal to 1,9±0,1 EU/ml upon EB, </w:t>
      </w:r>
      <w:r w:rsidR="00CC5B7A">
        <w:rPr>
          <w:rFonts w:eastAsiaTheme="minorEastAsia"/>
          <w:sz w:val="28"/>
          <w:szCs w:val="28"/>
          <w:lang w:val="en-US" w:eastAsia="zh-CN"/>
        </w:rPr>
        <w:t xml:space="preserve">and </w:t>
      </w:r>
      <w:r w:rsidRPr="00DC0382">
        <w:rPr>
          <w:rFonts w:eastAsiaTheme="minorEastAsia"/>
          <w:sz w:val="28"/>
          <w:szCs w:val="28"/>
          <w:lang w:val="en-US" w:eastAsia="zh-CN"/>
        </w:rPr>
        <w:t xml:space="preserve">2,1±0,1 EU/ml upon duodenal UD. The highest LPS concentration in the blood serum was observed in children with duodenal UD (Table 1). </w:t>
      </w:r>
      <w:proofErr w:type="spellStart"/>
      <w:r w:rsidRPr="00DC0382">
        <w:rPr>
          <w:rFonts w:eastAsiaTheme="minorEastAsia"/>
          <w:sz w:val="28"/>
          <w:szCs w:val="28"/>
          <w:lang w:val="en-US" w:eastAsia="zh-CN"/>
        </w:rPr>
        <w:t>Endotoxinemia</w:t>
      </w:r>
      <w:proofErr w:type="spellEnd"/>
      <w:r w:rsidR="006E0767" w:rsidRPr="00DC0382">
        <w:rPr>
          <w:rFonts w:eastAsiaTheme="minorEastAsia"/>
          <w:sz w:val="28"/>
          <w:szCs w:val="28"/>
          <w:lang w:val="en-US" w:eastAsia="zh-CN"/>
        </w:rPr>
        <w:t>, being</w:t>
      </w:r>
      <w:r w:rsidRPr="00DC0382">
        <w:rPr>
          <w:rFonts w:eastAsiaTheme="minorEastAsia"/>
          <w:sz w:val="28"/>
          <w:szCs w:val="28"/>
          <w:lang w:val="en-US" w:eastAsia="zh-CN"/>
        </w:rPr>
        <w:t xml:space="preserve"> within the physiological </w:t>
      </w:r>
      <w:r w:rsidR="006E0767" w:rsidRPr="00DC0382">
        <w:rPr>
          <w:rFonts w:eastAsiaTheme="minorEastAsia"/>
          <w:sz w:val="28"/>
          <w:szCs w:val="28"/>
          <w:lang w:val="en-US" w:eastAsia="zh-CN"/>
        </w:rPr>
        <w:t xml:space="preserve">norm and </w:t>
      </w:r>
      <w:r w:rsidRPr="00DC0382">
        <w:rPr>
          <w:rFonts w:eastAsiaTheme="minorEastAsia"/>
          <w:sz w:val="28"/>
          <w:szCs w:val="28"/>
          <w:lang w:val="en-US" w:eastAsia="zh-CN"/>
        </w:rPr>
        <w:t>not exceed</w:t>
      </w:r>
      <w:r w:rsidR="006E0767" w:rsidRPr="00DC0382">
        <w:rPr>
          <w:rFonts w:eastAsiaTheme="minorEastAsia"/>
          <w:sz w:val="28"/>
          <w:szCs w:val="28"/>
          <w:lang w:val="en-US" w:eastAsia="zh-CN"/>
        </w:rPr>
        <w:t>ing 1.0 EU/</w:t>
      </w:r>
      <w:r w:rsidRPr="00DC0382">
        <w:rPr>
          <w:rFonts w:eastAsiaTheme="minorEastAsia"/>
          <w:sz w:val="28"/>
          <w:szCs w:val="28"/>
          <w:lang w:val="en-US" w:eastAsia="zh-CN"/>
        </w:rPr>
        <w:t>ml</w:t>
      </w:r>
      <w:r w:rsidR="006E0767" w:rsidRPr="00DC0382">
        <w:rPr>
          <w:rFonts w:eastAsiaTheme="minorEastAsia"/>
          <w:sz w:val="28"/>
          <w:szCs w:val="28"/>
          <w:lang w:val="en-US" w:eastAsia="zh-CN"/>
        </w:rPr>
        <w:t>,</w:t>
      </w:r>
      <w:r w:rsidRPr="00DC0382">
        <w:rPr>
          <w:rFonts w:eastAsiaTheme="minorEastAsia"/>
          <w:sz w:val="28"/>
          <w:szCs w:val="28"/>
          <w:lang w:val="en-US" w:eastAsia="zh-CN"/>
        </w:rPr>
        <w:t xml:space="preserve"> </w:t>
      </w:r>
      <w:r w:rsidR="006E0767" w:rsidRPr="00DC0382">
        <w:rPr>
          <w:rFonts w:eastAsiaTheme="minorEastAsia"/>
          <w:sz w:val="28"/>
          <w:szCs w:val="28"/>
          <w:lang w:val="en-US" w:eastAsia="zh-CN"/>
        </w:rPr>
        <w:t xml:space="preserve">was diagnosed in all children of </w:t>
      </w:r>
      <w:r w:rsidRPr="00DC0382">
        <w:rPr>
          <w:rFonts w:eastAsiaTheme="minorEastAsia"/>
          <w:sz w:val="28"/>
          <w:szCs w:val="28"/>
          <w:lang w:val="en-US" w:eastAsia="zh-CN"/>
        </w:rPr>
        <w:t xml:space="preserve">the control group. Physiological level </w:t>
      </w:r>
      <w:r w:rsidR="006E0767" w:rsidRPr="00DC0382">
        <w:rPr>
          <w:rFonts w:eastAsiaTheme="minorEastAsia"/>
          <w:sz w:val="28"/>
          <w:szCs w:val="28"/>
          <w:lang w:val="en-US" w:eastAsia="zh-CN"/>
        </w:rPr>
        <w:t xml:space="preserve">of </w:t>
      </w:r>
      <w:proofErr w:type="spellStart"/>
      <w:r w:rsidR="006E0767" w:rsidRPr="00DC0382">
        <w:rPr>
          <w:rFonts w:eastAsiaTheme="minorEastAsia"/>
          <w:sz w:val="28"/>
          <w:szCs w:val="28"/>
          <w:lang w:val="en-US" w:eastAsia="zh-CN"/>
        </w:rPr>
        <w:t>endotoxinemia</w:t>
      </w:r>
      <w:proofErr w:type="spellEnd"/>
      <w:r w:rsidR="006E0767" w:rsidRPr="00DC0382">
        <w:rPr>
          <w:rFonts w:eastAsiaTheme="minorEastAsia"/>
          <w:sz w:val="28"/>
          <w:szCs w:val="28"/>
          <w:lang w:val="en-US" w:eastAsia="zh-CN"/>
        </w:rPr>
        <w:t xml:space="preserve"> was</w:t>
      </w:r>
      <w:r w:rsidRPr="00DC0382">
        <w:rPr>
          <w:rFonts w:eastAsiaTheme="minorEastAsia"/>
          <w:sz w:val="28"/>
          <w:szCs w:val="28"/>
          <w:lang w:val="en-US" w:eastAsia="zh-CN"/>
        </w:rPr>
        <w:t xml:space="preserve"> </w:t>
      </w:r>
      <w:r w:rsidR="006E0767" w:rsidRPr="00DC0382">
        <w:rPr>
          <w:rFonts w:eastAsiaTheme="minorEastAsia"/>
          <w:sz w:val="28"/>
          <w:szCs w:val="28"/>
          <w:lang w:val="en-US" w:eastAsia="zh-CN"/>
        </w:rPr>
        <w:t>detected</w:t>
      </w:r>
      <w:r w:rsidRPr="00DC0382">
        <w:rPr>
          <w:rFonts w:eastAsiaTheme="minorEastAsia"/>
          <w:sz w:val="28"/>
          <w:szCs w:val="28"/>
          <w:lang w:val="en-US" w:eastAsia="zh-CN"/>
        </w:rPr>
        <w:t xml:space="preserve"> only </w:t>
      </w:r>
      <w:r w:rsidR="004B483B">
        <w:rPr>
          <w:rFonts w:eastAsiaTheme="minorEastAsia"/>
          <w:sz w:val="28"/>
          <w:szCs w:val="28"/>
          <w:lang w:val="en-US" w:eastAsia="zh-CN"/>
        </w:rPr>
        <w:t>in 2 (10</w:t>
      </w:r>
      <w:proofErr w:type="gramStart"/>
      <w:r w:rsidR="004B483B" w:rsidRPr="004B483B">
        <w:rPr>
          <w:rFonts w:eastAsiaTheme="minorEastAsia"/>
          <w:sz w:val="28"/>
          <w:szCs w:val="28"/>
          <w:lang w:val="en-US" w:eastAsia="zh-CN"/>
        </w:rPr>
        <w:t>,</w:t>
      </w:r>
      <w:r w:rsidR="004B483B">
        <w:rPr>
          <w:rFonts w:eastAsiaTheme="minorEastAsia"/>
          <w:sz w:val="28"/>
          <w:szCs w:val="28"/>
          <w:lang w:val="en-US" w:eastAsia="zh-CN"/>
        </w:rPr>
        <w:t>0</w:t>
      </w:r>
      <w:proofErr w:type="gramEnd"/>
      <w:r w:rsidR="004B483B">
        <w:rPr>
          <w:rFonts w:eastAsiaTheme="minorEastAsia"/>
          <w:sz w:val="28"/>
          <w:szCs w:val="28"/>
          <w:lang w:val="en-US" w:eastAsia="zh-CN"/>
        </w:rPr>
        <w:t>±6</w:t>
      </w:r>
      <w:r w:rsidR="004B483B" w:rsidRPr="004B483B">
        <w:rPr>
          <w:rFonts w:eastAsiaTheme="minorEastAsia"/>
          <w:sz w:val="28"/>
          <w:szCs w:val="28"/>
          <w:lang w:val="en-US" w:eastAsia="zh-CN"/>
        </w:rPr>
        <w:t>,</w:t>
      </w:r>
      <w:r w:rsidRPr="00DC0382">
        <w:rPr>
          <w:rFonts w:eastAsiaTheme="minorEastAsia"/>
          <w:sz w:val="28"/>
          <w:szCs w:val="28"/>
          <w:lang w:val="en-US" w:eastAsia="zh-CN"/>
        </w:rPr>
        <w:t xml:space="preserve">7%) patients with duodenal </w:t>
      </w:r>
      <w:r w:rsidR="004B483B">
        <w:rPr>
          <w:rFonts w:eastAsiaTheme="minorEastAsia"/>
          <w:sz w:val="28"/>
          <w:szCs w:val="28"/>
          <w:lang w:val="en-US" w:eastAsia="zh-CN"/>
        </w:rPr>
        <w:t>UD and 5 (12</w:t>
      </w:r>
      <w:r w:rsidR="004B483B" w:rsidRPr="004B483B">
        <w:rPr>
          <w:rFonts w:eastAsiaTheme="minorEastAsia"/>
          <w:sz w:val="28"/>
          <w:szCs w:val="28"/>
          <w:lang w:val="en-US" w:eastAsia="zh-CN"/>
        </w:rPr>
        <w:t>,</w:t>
      </w:r>
      <w:r w:rsidR="004B483B">
        <w:rPr>
          <w:rFonts w:eastAsiaTheme="minorEastAsia"/>
          <w:sz w:val="28"/>
          <w:szCs w:val="28"/>
          <w:lang w:val="en-US" w:eastAsia="zh-CN"/>
        </w:rPr>
        <w:t>5±5</w:t>
      </w:r>
      <w:r w:rsidR="004B483B" w:rsidRPr="004B483B">
        <w:rPr>
          <w:rFonts w:eastAsiaTheme="minorEastAsia"/>
          <w:sz w:val="28"/>
          <w:szCs w:val="28"/>
          <w:lang w:val="en-US" w:eastAsia="zh-CN"/>
        </w:rPr>
        <w:t>,</w:t>
      </w:r>
      <w:r w:rsidRPr="00DC0382">
        <w:rPr>
          <w:rFonts w:eastAsiaTheme="minorEastAsia"/>
          <w:sz w:val="28"/>
          <w:szCs w:val="28"/>
          <w:lang w:val="en-US" w:eastAsia="zh-CN"/>
        </w:rPr>
        <w:t xml:space="preserve">2%) </w:t>
      </w:r>
      <w:r w:rsidR="006E0767" w:rsidRPr="00DC0382">
        <w:rPr>
          <w:rFonts w:eastAsiaTheme="minorEastAsia"/>
          <w:sz w:val="28"/>
          <w:szCs w:val="28"/>
          <w:lang w:val="en-US" w:eastAsia="zh-CN"/>
        </w:rPr>
        <w:t>patients with EB</w:t>
      </w:r>
      <w:r w:rsidRPr="00DC0382">
        <w:rPr>
          <w:rFonts w:eastAsiaTheme="minorEastAsia"/>
          <w:sz w:val="28"/>
          <w:szCs w:val="28"/>
          <w:lang w:val="en-US" w:eastAsia="zh-CN"/>
        </w:rPr>
        <w:t xml:space="preserve">. </w:t>
      </w:r>
      <w:r w:rsidR="006E0767" w:rsidRPr="00DC0382">
        <w:rPr>
          <w:rFonts w:eastAsiaTheme="minorEastAsia"/>
          <w:sz w:val="28"/>
          <w:szCs w:val="28"/>
          <w:lang w:val="en-US" w:eastAsia="zh-CN"/>
        </w:rPr>
        <w:t>P</w:t>
      </w:r>
      <w:r w:rsidRPr="00DC0382">
        <w:rPr>
          <w:rFonts w:eastAsiaTheme="minorEastAsia"/>
          <w:sz w:val="28"/>
          <w:szCs w:val="28"/>
          <w:lang w:val="en-US" w:eastAsia="zh-CN"/>
        </w:rPr>
        <w:t xml:space="preserve">atients infected with virulent </w:t>
      </w:r>
      <w:r w:rsidR="006E0767" w:rsidRPr="00DC0382">
        <w:rPr>
          <w:rFonts w:eastAsiaTheme="minorEastAsia"/>
          <w:sz w:val="28"/>
          <w:szCs w:val="28"/>
          <w:lang w:val="en-US" w:eastAsia="zh-CN"/>
        </w:rPr>
        <w:t xml:space="preserve">Hp </w:t>
      </w:r>
      <w:r w:rsidRPr="00DC0382">
        <w:rPr>
          <w:rFonts w:eastAsiaTheme="minorEastAsia"/>
          <w:sz w:val="28"/>
          <w:szCs w:val="28"/>
          <w:lang w:val="en-US" w:eastAsia="zh-CN"/>
        </w:rPr>
        <w:t xml:space="preserve">strains had a higher level of </w:t>
      </w:r>
      <w:proofErr w:type="spellStart"/>
      <w:r w:rsidR="006E0767" w:rsidRPr="00DC0382">
        <w:rPr>
          <w:rFonts w:eastAsiaTheme="minorEastAsia"/>
          <w:sz w:val="28"/>
          <w:szCs w:val="28"/>
          <w:lang w:val="en-US" w:eastAsia="zh-CN"/>
        </w:rPr>
        <w:t>endotoxinemia</w:t>
      </w:r>
      <w:proofErr w:type="spellEnd"/>
      <w:r w:rsidRPr="00DC0382">
        <w:rPr>
          <w:rFonts w:eastAsiaTheme="minorEastAsia"/>
          <w:sz w:val="28"/>
          <w:szCs w:val="28"/>
          <w:lang w:val="en-US" w:eastAsia="zh-CN"/>
        </w:rPr>
        <w:t xml:space="preserve">. </w:t>
      </w:r>
      <w:r w:rsidR="00CC5B7A" w:rsidRPr="00DC0382">
        <w:rPr>
          <w:rFonts w:eastAsiaTheme="minorEastAsia"/>
          <w:sz w:val="28"/>
          <w:szCs w:val="28"/>
          <w:lang w:val="en-US" w:eastAsia="zh-CN"/>
        </w:rPr>
        <w:t xml:space="preserve">LPS concentration </w:t>
      </w:r>
      <w:r w:rsidR="00036DC3" w:rsidRPr="00DC0382">
        <w:rPr>
          <w:rFonts w:eastAsiaTheme="minorEastAsia"/>
          <w:sz w:val="28"/>
          <w:szCs w:val="28"/>
          <w:lang w:val="en-US" w:eastAsia="zh-CN"/>
        </w:rPr>
        <w:t xml:space="preserve">mean value </w:t>
      </w:r>
      <w:r w:rsidRPr="00DC0382">
        <w:rPr>
          <w:rFonts w:eastAsiaTheme="minorEastAsia"/>
          <w:sz w:val="28"/>
          <w:szCs w:val="28"/>
          <w:lang w:val="en-US" w:eastAsia="zh-CN"/>
        </w:rPr>
        <w:t xml:space="preserve">in </w:t>
      </w:r>
      <w:r w:rsidR="006E0767" w:rsidRPr="00DC0382">
        <w:rPr>
          <w:rFonts w:eastAsiaTheme="minorEastAsia"/>
          <w:sz w:val="28"/>
          <w:szCs w:val="28"/>
          <w:lang w:val="en-US" w:eastAsia="zh-CN"/>
        </w:rPr>
        <w:t xml:space="preserve">the children’s blood </w:t>
      </w:r>
      <w:r w:rsidRPr="00DC0382">
        <w:rPr>
          <w:rFonts w:eastAsiaTheme="minorEastAsia"/>
          <w:sz w:val="28"/>
          <w:szCs w:val="28"/>
          <w:lang w:val="en-US" w:eastAsia="zh-CN"/>
        </w:rPr>
        <w:t xml:space="preserve">serum </w:t>
      </w:r>
      <w:r w:rsidR="006E0767" w:rsidRPr="00DC0382">
        <w:rPr>
          <w:rFonts w:eastAsiaTheme="minorEastAsia"/>
          <w:sz w:val="28"/>
          <w:szCs w:val="28"/>
          <w:lang w:val="en-US" w:eastAsia="zh-CN"/>
        </w:rPr>
        <w:lastRenderedPageBreak/>
        <w:t>in the first group was 2</w:t>
      </w:r>
      <w:proofErr w:type="gramStart"/>
      <w:r w:rsidR="004B483B" w:rsidRPr="004B483B">
        <w:rPr>
          <w:rFonts w:eastAsiaTheme="minorEastAsia"/>
          <w:sz w:val="28"/>
          <w:szCs w:val="28"/>
          <w:lang w:val="en-US" w:eastAsia="zh-CN"/>
        </w:rPr>
        <w:t>,</w:t>
      </w:r>
      <w:r w:rsidR="004B483B">
        <w:rPr>
          <w:rFonts w:eastAsiaTheme="minorEastAsia"/>
          <w:sz w:val="28"/>
          <w:szCs w:val="28"/>
          <w:lang w:val="en-US" w:eastAsia="zh-CN"/>
        </w:rPr>
        <w:t>3</w:t>
      </w:r>
      <w:proofErr w:type="gramEnd"/>
      <w:r w:rsidR="004B483B">
        <w:rPr>
          <w:rFonts w:eastAsiaTheme="minorEastAsia"/>
          <w:sz w:val="28"/>
          <w:szCs w:val="28"/>
          <w:lang w:val="en-US" w:eastAsia="zh-CN"/>
        </w:rPr>
        <w:t>±0</w:t>
      </w:r>
      <w:r w:rsidR="004B483B" w:rsidRPr="004B483B">
        <w:rPr>
          <w:rFonts w:eastAsiaTheme="minorEastAsia"/>
          <w:sz w:val="28"/>
          <w:szCs w:val="28"/>
          <w:lang w:val="en-US" w:eastAsia="zh-CN"/>
        </w:rPr>
        <w:t>,</w:t>
      </w:r>
      <w:r w:rsidR="006E0767" w:rsidRPr="00DC0382">
        <w:rPr>
          <w:rFonts w:eastAsiaTheme="minorEastAsia"/>
          <w:sz w:val="28"/>
          <w:szCs w:val="28"/>
          <w:lang w:val="en-US" w:eastAsia="zh-CN"/>
        </w:rPr>
        <w:t>1 EU/</w:t>
      </w:r>
      <w:r w:rsidRPr="00DC0382">
        <w:rPr>
          <w:rFonts w:eastAsiaTheme="minorEastAsia"/>
          <w:sz w:val="28"/>
          <w:szCs w:val="28"/>
          <w:lang w:val="en-US" w:eastAsia="zh-CN"/>
        </w:rPr>
        <w:t>ml, w</w:t>
      </w:r>
      <w:r w:rsidR="006E0767" w:rsidRPr="00DC0382">
        <w:rPr>
          <w:rFonts w:eastAsiaTheme="minorEastAsia"/>
          <w:sz w:val="28"/>
          <w:szCs w:val="28"/>
          <w:lang w:val="en-US" w:eastAsia="zh-CN"/>
        </w:rPr>
        <w:t xml:space="preserve">hich was significantly higher in statistical respect </w:t>
      </w:r>
      <w:r w:rsidR="004B483B">
        <w:rPr>
          <w:rFonts w:eastAsiaTheme="minorEastAsia"/>
          <w:sz w:val="28"/>
          <w:szCs w:val="28"/>
          <w:lang w:val="en-US" w:eastAsia="zh-CN"/>
        </w:rPr>
        <w:t>(p&lt;0</w:t>
      </w:r>
      <w:r w:rsidR="004B483B" w:rsidRPr="004B483B">
        <w:rPr>
          <w:rFonts w:eastAsiaTheme="minorEastAsia"/>
          <w:sz w:val="28"/>
          <w:szCs w:val="28"/>
          <w:lang w:val="en-US" w:eastAsia="zh-CN"/>
        </w:rPr>
        <w:t>,</w:t>
      </w:r>
      <w:r w:rsidR="00036DC3" w:rsidRPr="00DC0382">
        <w:rPr>
          <w:rFonts w:eastAsiaTheme="minorEastAsia"/>
          <w:sz w:val="28"/>
          <w:szCs w:val="28"/>
          <w:lang w:val="en-US" w:eastAsia="zh-CN"/>
        </w:rPr>
        <w:t xml:space="preserve">001) </w:t>
      </w:r>
      <w:r w:rsidR="00F57076" w:rsidRPr="00DC0382">
        <w:rPr>
          <w:rFonts w:eastAsiaTheme="minorEastAsia"/>
          <w:sz w:val="28"/>
          <w:szCs w:val="28"/>
          <w:lang w:val="en-US" w:eastAsia="zh-CN"/>
        </w:rPr>
        <w:t xml:space="preserve">in comparison with </w:t>
      </w:r>
      <w:r w:rsidRPr="00DC0382">
        <w:rPr>
          <w:rFonts w:eastAsiaTheme="minorEastAsia"/>
          <w:sz w:val="28"/>
          <w:szCs w:val="28"/>
          <w:lang w:val="en-US" w:eastAsia="zh-CN"/>
        </w:rPr>
        <w:t xml:space="preserve">children of </w:t>
      </w:r>
      <w:r w:rsidR="006E0767" w:rsidRPr="00DC0382">
        <w:rPr>
          <w:rFonts w:eastAsiaTheme="minorEastAsia"/>
          <w:sz w:val="28"/>
          <w:szCs w:val="28"/>
          <w:lang w:val="en-US" w:eastAsia="zh-CN"/>
        </w:rPr>
        <w:t>the second group</w:t>
      </w:r>
      <w:r w:rsidRPr="00DC0382">
        <w:rPr>
          <w:rFonts w:eastAsiaTheme="minorEastAsia"/>
          <w:sz w:val="28"/>
          <w:szCs w:val="28"/>
          <w:lang w:val="en-US" w:eastAsia="zh-CN"/>
        </w:rPr>
        <w:t xml:space="preserve"> </w:t>
      </w:r>
      <w:r w:rsidR="00CC5B7A">
        <w:rPr>
          <w:rFonts w:eastAsiaTheme="minorEastAsia"/>
          <w:sz w:val="28"/>
          <w:szCs w:val="28"/>
          <w:lang w:val="en-US" w:eastAsia="zh-CN"/>
        </w:rPr>
        <w:t>(</w:t>
      </w:r>
      <w:r w:rsidR="004B483B">
        <w:rPr>
          <w:rFonts w:eastAsiaTheme="minorEastAsia"/>
          <w:sz w:val="28"/>
          <w:szCs w:val="28"/>
          <w:lang w:val="en-US" w:eastAsia="zh-CN"/>
        </w:rPr>
        <w:t>1</w:t>
      </w:r>
      <w:r w:rsidR="004B483B" w:rsidRPr="004B483B">
        <w:rPr>
          <w:rFonts w:eastAsiaTheme="minorEastAsia"/>
          <w:sz w:val="28"/>
          <w:szCs w:val="28"/>
          <w:lang w:val="en-US" w:eastAsia="zh-CN"/>
        </w:rPr>
        <w:t>,</w:t>
      </w:r>
      <w:r w:rsidRPr="00DC0382">
        <w:rPr>
          <w:rFonts w:eastAsiaTheme="minorEastAsia"/>
          <w:sz w:val="28"/>
          <w:szCs w:val="28"/>
          <w:lang w:val="en-US" w:eastAsia="zh-CN"/>
        </w:rPr>
        <w:t>6</w:t>
      </w:r>
      <w:r w:rsidR="004B483B">
        <w:rPr>
          <w:rFonts w:eastAsiaTheme="minorEastAsia"/>
          <w:sz w:val="28"/>
          <w:szCs w:val="28"/>
          <w:lang w:val="en-US" w:eastAsia="zh-CN"/>
        </w:rPr>
        <w:t>±0,</w:t>
      </w:r>
      <w:r w:rsidR="00036DC3" w:rsidRPr="00DC0382">
        <w:rPr>
          <w:rFonts w:eastAsiaTheme="minorEastAsia"/>
          <w:sz w:val="28"/>
          <w:szCs w:val="28"/>
          <w:lang w:val="en-US" w:eastAsia="zh-CN"/>
        </w:rPr>
        <w:t>1 EU/</w:t>
      </w:r>
      <w:r w:rsidRPr="00DC0382">
        <w:rPr>
          <w:rFonts w:eastAsiaTheme="minorEastAsia"/>
          <w:sz w:val="28"/>
          <w:szCs w:val="28"/>
          <w:lang w:val="en-US" w:eastAsia="zh-CN"/>
        </w:rPr>
        <w:t>ml</w:t>
      </w:r>
      <w:r w:rsidR="00CC5B7A">
        <w:rPr>
          <w:rFonts w:eastAsiaTheme="minorEastAsia"/>
          <w:sz w:val="28"/>
          <w:szCs w:val="28"/>
          <w:lang w:val="en-US" w:eastAsia="zh-CN"/>
        </w:rPr>
        <w:t>)</w:t>
      </w:r>
      <w:r w:rsidRPr="00DC0382">
        <w:rPr>
          <w:rFonts w:eastAsiaTheme="minorEastAsia"/>
          <w:sz w:val="28"/>
          <w:szCs w:val="28"/>
          <w:lang w:val="en-US" w:eastAsia="zh-CN"/>
        </w:rPr>
        <w:t>.</w:t>
      </w:r>
    </w:p>
    <w:p w:rsidR="00BC7970" w:rsidRPr="00DC0382" w:rsidRDefault="00D9546A" w:rsidP="00A34F57">
      <w:pPr>
        <w:spacing w:after="0" w:line="360" w:lineRule="auto"/>
        <w:jc w:val="right"/>
        <w:rPr>
          <w:rFonts w:eastAsiaTheme="minorEastAsia"/>
          <w:sz w:val="28"/>
          <w:szCs w:val="28"/>
          <w:lang w:val="en-US" w:eastAsia="zh-CN"/>
        </w:rPr>
      </w:pPr>
      <w:r w:rsidRPr="00DC0382">
        <w:rPr>
          <w:rFonts w:eastAsiaTheme="minorEastAsia"/>
          <w:sz w:val="28"/>
          <w:szCs w:val="28"/>
          <w:lang w:val="en-US" w:eastAsia="zh-CN"/>
        </w:rPr>
        <w:t>Table 1</w:t>
      </w:r>
    </w:p>
    <w:p w:rsidR="00B86748" w:rsidRPr="00DC0382" w:rsidRDefault="00B86748" w:rsidP="00A34F57">
      <w:pPr>
        <w:spacing w:after="0" w:line="360" w:lineRule="auto"/>
        <w:jc w:val="center"/>
        <w:rPr>
          <w:rFonts w:eastAsiaTheme="minorEastAsia"/>
          <w:b/>
          <w:sz w:val="28"/>
          <w:szCs w:val="28"/>
          <w:lang w:val="en-US" w:eastAsia="zh-CN"/>
        </w:rPr>
      </w:pPr>
      <w:r w:rsidRPr="00DC0382">
        <w:rPr>
          <w:rFonts w:eastAsiaTheme="minorEastAsia"/>
          <w:b/>
          <w:sz w:val="28"/>
          <w:szCs w:val="28"/>
          <w:lang w:val="en-US" w:eastAsia="zh-CN"/>
        </w:rPr>
        <w:t xml:space="preserve">The mean value of systemic </w:t>
      </w:r>
      <w:proofErr w:type="spellStart"/>
      <w:r w:rsidRPr="00DC0382">
        <w:rPr>
          <w:rFonts w:eastAsiaTheme="minorEastAsia"/>
          <w:b/>
          <w:sz w:val="28"/>
          <w:szCs w:val="28"/>
          <w:lang w:val="en-US" w:eastAsia="zh-CN"/>
        </w:rPr>
        <w:t>endotoxinemia</w:t>
      </w:r>
      <w:proofErr w:type="spellEnd"/>
      <w:r w:rsidRPr="00DC0382">
        <w:rPr>
          <w:rFonts w:eastAsiaTheme="minorEastAsia"/>
          <w:b/>
          <w:sz w:val="28"/>
          <w:szCs w:val="28"/>
          <w:lang w:val="en-US" w:eastAsia="zh-CN"/>
        </w:rPr>
        <w:t xml:space="preserve"> and </w:t>
      </w:r>
      <w:proofErr w:type="spellStart"/>
      <w:r w:rsidRPr="00DC0382">
        <w:rPr>
          <w:rFonts w:eastAsiaTheme="minorEastAsia"/>
          <w:b/>
          <w:sz w:val="28"/>
          <w:szCs w:val="28"/>
          <w:lang w:val="en-US" w:eastAsia="zh-CN"/>
        </w:rPr>
        <w:t>antiendotoxin</w:t>
      </w:r>
      <w:proofErr w:type="spellEnd"/>
      <w:r w:rsidRPr="00DC0382">
        <w:rPr>
          <w:rFonts w:eastAsiaTheme="minorEastAsia"/>
          <w:b/>
          <w:sz w:val="28"/>
          <w:szCs w:val="28"/>
          <w:lang w:val="en-US" w:eastAsia="zh-CN"/>
        </w:rPr>
        <w:t xml:space="preserve"> </w:t>
      </w:r>
      <w:proofErr w:type="spellStart"/>
      <w:r w:rsidRPr="00DC0382">
        <w:rPr>
          <w:rFonts w:eastAsiaTheme="minorEastAsia"/>
          <w:b/>
          <w:sz w:val="28"/>
          <w:szCs w:val="28"/>
          <w:lang w:val="en-US" w:eastAsia="zh-CN"/>
        </w:rPr>
        <w:t>humoral</w:t>
      </w:r>
      <w:proofErr w:type="spellEnd"/>
      <w:r w:rsidRPr="00DC0382">
        <w:rPr>
          <w:rFonts w:eastAsiaTheme="minorEastAsia"/>
          <w:b/>
          <w:sz w:val="28"/>
          <w:szCs w:val="28"/>
          <w:lang w:val="en-US" w:eastAsia="zh-CN"/>
        </w:rPr>
        <w:t xml:space="preserve"> immunity in the patients examined depending on the severity of destructive process in the duodenal mucosa</w:t>
      </w:r>
    </w:p>
    <w:tbl>
      <w:tblPr>
        <w:tblStyle w:val="a4"/>
        <w:tblW w:w="0" w:type="auto"/>
        <w:tblLook w:val="04A0"/>
      </w:tblPr>
      <w:tblGrid>
        <w:gridCol w:w="2463"/>
        <w:gridCol w:w="2463"/>
        <w:gridCol w:w="2464"/>
        <w:gridCol w:w="2464"/>
      </w:tblGrid>
      <w:tr w:rsidR="00A34F57" w:rsidRPr="00DC0382" w:rsidTr="0076454D">
        <w:tc>
          <w:tcPr>
            <w:tcW w:w="2463" w:type="dxa"/>
            <w:vAlign w:val="center"/>
          </w:tcPr>
          <w:p w:rsidR="00A34F57" w:rsidRPr="00DC0382" w:rsidRDefault="00036DC3" w:rsidP="00A34F57">
            <w:pPr>
              <w:spacing w:line="360" w:lineRule="auto"/>
              <w:jc w:val="center"/>
              <w:rPr>
                <w:rFonts w:eastAsia="Times New Roman"/>
                <w:b/>
                <w:sz w:val="20"/>
                <w:szCs w:val="20"/>
                <w:lang w:val="en-US" w:eastAsia="ru-RU"/>
              </w:rPr>
            </w:pPr>
            <w:r w:rsidRPr="00DC0382">
              <w:rPr>
                <w:rFonts w:eastAsia="Times New Roman"/>
                <w:b/>
                <w:sz w:val="20"/>
                <w:szCs w:val="20"/>
                <w:lang w:val="en-US" w:eastAsia="ru-RU"/>
              </w:rPr>
              <w:t>Index</w:t>
            </w:r>
          </w:p>
        </w:tc>
        <w:tc>
          <w:tcPr>
            <w:tcW w:w="2463" w:type="dxa"/>
            <w:vAlign w:val="center"/>
          </w:tcPr>
          <w:p w:rsidR="00A34F57" w:rsidRPr="00DC0382" w:rsidRDefault="00036DC3" w:rsidP="00A34F57">
            <w:pPr>
              <w:spacing w:line="360" w:lineRule="auto"/>
              <w:jc w:val="center"/>
              <w:rPr>
                <w:rFonts w:eastAsia="Times New Roman"/>
                <w:b/>
                <w:bCs/>
                <w:sz w:val="20"/>
                <w:szCs w:val="20"/>
                <w:lang w:val="en-US" w:eastAsia="ru-RU"/>
              </w:rPr>
            </w:pPr>
            <w:r w:rsidRPr="00DC0382">
              <w:rPr>
                <w:rFonts w:eastAsia="Times New Roman"/>
                <w:b/>
                <w:bCs/>
                <w:sz w:val="20"/>
                <w:szCs w:val="20"/>
                <w:lang w:val="en-US" w:eastAsia="ru-RU"/>
              </w:rPr>
              <w:t>Children with duodenal UD</w:t>
            </w:r>
            <w:r w:rsidR="00A34F57" w:rsidRPr="00DC0382">
              <w:rPr>
                <w:rFonts w:eastAsia="Times New Roman"/>
                <w:b/>
                <w:bCs/>
                <w:sz w:val="20"/>
                <w:szCs w:val="20"/>
                <w:lang w:val="en-US" w:eastAsia="ru-RU"/>
              </w:rPr>
              <w:t xml:space="preserve"> (</w:t>
            </w:r>
            <w:r w:rsidRPr="00DC0382">
              <w:rPr>
                <w:rFonts w:eastAsia="Times New Roman"/>
                <w:b/>
                <w:bCs/>
                <w:sz w:val="20"/>
                <w:szCs w:val="20"/>
                <w:lang w:val="en-US" w:eastAsia="ru-RU"/>
              </w:rPr>
              <w:t>Hp</w:t>
            </w:r>
            <w:r w:rsidR="00A34F57" w:rsidRPr="00DC0382">
              <w:rPr>
                <w:rFonts w:eastAsia="Times New Roman"/>
                <w:b/>
                <w:bCs/>
                <w:sz w:val="20"/>
                <w:szCs w:val="20"/>
                <w:lang w:val="en-US" w:eastAsia="ru-RU"/>
              </w:rPr>
              <w:t>+)</w:t>
            </w:r>
          </w:p>
          <w:p w:rsidR="00A34F57" w:rsidRPr="00DC0382" w:rsidRDefault="00A34F57" w:rsidP="00A34F57">
            <w:pPr>
              <w:spacing w:line="360" w:lineRule="auto"/>
              <w:jc w:val="center"/>
              <w:rPr>
                <w:rFonts w:eastAsia="Times New Roman"/>
                <w:b/>
                <w:sz w:val="20"/>
                <w:szCs w:val="20"/>
                <w:lang w:eastAsia="ru-RU"/>
              </w:rPr>
            </w:pPr>
            <w:r w:rsidRPr="00DC0382">
              <w:rPr>
                <w:rFonts w:eastAsia="Times New Roman"/>
                <w:b/>
                <w:bCs/>
                <w:sz w:val="20"/>
                <w:szCs w:val="20"/>
                <w:lang w:val="en-US" w:eastAsia="ru-RU"/>
              </w:rPr>
              <w:t>n</w:t>
            </w:r>
            <w:r w:rsidRPr="00DC0382">
              <w:rPr>
                <w:rFonts w:eastAsia="Times New Roman"/>
                <w:b/>
                <w:bCs/>
                <w:sz w:val="20"/>
                <w:szCs w:val="20"/>
                <w:lang w:eastAsia="ru-RU"/>
              </w:rPr>
              <w:t>=20</w:t>
            </w:r>
          </w:p>
        </w:tc>
        <w:tc>
          <w:tcPr>
            <w:tcW w:w="2464" w:type="dxa"/>
            <w:vAlign w:val="center"/>
          </w:tcPr>
          <w:p w:rsidR="00A34F57" w:rsidRPr="004B483B" w:rsidRDefault="00036DC3" w:rsidP="00A34F57">
            <w:pPr>
              <w:suppressAutoHyphens/>
              <w:spacing w:line="360" w:lineRule="auto"/>
              <w:jc w:val="center"/>
              <w:rPr>
                <w:rFonts w:eastAsia="Times New Roman"/>
                <w:b/>
                <w:bCs/>
                <w:sz w:val="20"/>
                <w:szCs w:val="20"/>
                <w:lang w:val="en-US" w:eastAsia="ar-SA"/>
              </w:rPr>
            </w:pPr>
            <w:r w:rsidRPr="00DC0382">
              <w:rPr>
                <w:rFonts w:eastAsia="Times New Roman"/>
                <w:b/>
                <w:bCs/>
                <w:sz w:val="20"/>
                <w:szCs w:val="20"/>
                <w:lang w:val="en-US" w:eastAsia="ar-SA"/>
              </w:rPr>
              <w:t>Children with EB</w:t>
            </w:r>
            <w:r w:rsidR="00A34F57" w:rsidRPr="004B483B">
              <w:rPr>
                <w:rFonts w:eastAsia="Times New Roman"/>
                <w:b/>
                <w:bCs/>
                <w:sz w:val="20"/>
                <w:szCs w:val="20"/>
                <w:lang w:val="en-US" w:eastAsia="ar-SA"/>
              </w:rPr>
              <w:t xml:space="preserve"> (</w:t>
            </w:r>
            <w:r w:rsidRPr="00DC0382">
              <w:rPr>
                <w:rFonts w:eastAsia="Times New Roman"/>
                <w:b/>
                <w:bCs/>
                <w:sz w:val="20"/>
                <w:szCs w:val="20"/>
                <w:lang w:val="en-US" w:eastAsia="ar-SA"/>
              </w:rPr>
              <w:t>Hp</w:t>
            </w:r>
            <w:r w:rsidR="00A34F57" w:rsidRPr="004B483B">
              <w:rPr>
                <w:rFonts w:eastAsia="Times New Roman"/>
                <w:b/>
                <w:bCs/>
                <w:sz w:val="20"/>
                <w:szCs w:val="20"/>
                <w:lang w:val="en-US" w:eastAsia="ar-SA"/>
              </w:rPr>
              <w:t>+)</w:t>
            </w:r>
          </w:p>
          <w:p w:rsidR="00A34F57" w:rsidRPr="004B483B" w:rsidRDefault="00A34F57" w:rsidP="00A34F57">
            <w:pPr>
              <w:suppressAutoHyphens/>
              <w:spacing w:line="360" w:lineRule="auto"/>
              <w:jc w:val="center"/>
              <w:rPr>
                <w:rFonts w:eastAsia="Times New Roman"/>
                <w:b/>
                <w:bCs/>
                <w:sz w:val="20"/>
                <w:szCs w:val="20"/>
                <w:lang w:val="en-US" w:eastAsia="ar-SA"/>
              </w:rPr>
            </w:pPr>
            <w:r w:rsidRPr="00DC0382">
              <w:rPr>
                <w:rFonts w:eastAsia="Times New Roman"/>
                <w:b/>
                <w:bCs/>
                <w:sz w:val="20"/>
                <w:szCs w:val="20"/>
                <w:lang w:val="en-US" w:eastAsia="ar-SA"/>
              </w:rPr>
              <w:t>n</w:t>
            </w:r>
            <w:r w:rsidRPr="004B483B">
              <w:rPr>
                <w:rFonts w:eastAsia="Times New Roman"/>
                <w:b/>
                <w:bCs/>
                <w:sz w:val="20"/>
                <w:szCs w:val="20"/>
                <w:lang w:val="en-US" w:eastAsia="ar-SA"/>
              </w:rPr>
              <w:t>=40</w:t>
            </w:r>
          </w:p>
        </w:tc>
        <w:tc>
          <w:tcPr>
            <w:tcW w:w="2464" w:type="dxa"/>
            <w:vAlign w:val="center"/>
          </w:tcPr>
          <w:p w:rsidR="00A34F57" w:rsidRPr="00DC0382" w:rsidRDefault="00036DC3" w:rsidP="00A34F57">
            <w:pPr>
              <w:suppressAutoHyphens/>
              <w:spacing w:line="360" w:lineRule="auto"/>
              <w:jc w:val="center"/>
              <w:rPr>
                <w:rFonts w:eastAsia="Times New Roman"/>
                <w:b/>
                <w:bCs/>
                <w:sz w:val="20"/>
                <w:szCs w:val="20"/>
                <w:lang w:val="en-US" w:eastAsia="ar-SA"/>
              </w:rPr>
            </w:pPr>
            <w:r w:rsidRPr="00DC0382">
              <w:rPr>
                <w:rFonts w:eastAsia="Times New Roman"/>
                <w:b/>
                <w:bCs/>
                <w:sz w:val="20"/>
                <w:szCs w:val="20"/>
                <w:lang w:val="en-US" w:eastAsia="ar-SA"/>
              </w:rPr>
              <w:t>Healthy children</w:t>
            </w:r>
          </w:p>
          <w:p w:rsidR="00A34F57" w:rsidRPr="00DC0382" w:rsidRDefault="00A34F57" w:rsidP="00A34F57">
            <w:pPr>
              <w:suppressAutoHyphens/>
              <w:spacing w:line="360" w:lineRule="auto"/>
              <w:jc w:val="center"/>
              <w:rPr>
                <w:rFonts w:eastAsia="Times New Roman"/>
                <w:b/>
                <w:bCs/>
                <w:sz w:val="20"/>
                <w:szCs w:val="20"/>
                <w:lang w:eastAsia="ar-SA"/>
              </w:rPr>
            </w:pPr>
            <w:r w:rsidRPr="00DC0382">
              <w:rPr>
                <w:rFonts w:eastAsia="Times New Roman"/>
                <w:b/>
                <w:bCs/>
                <w:sz w:val="20"/>
                <w:szCs w:val="20"/>
                <w:lang w:val="en-US" w:eastAsia="ar-SA"/>
              </w:rPr>
              <w:t>n</w:t>
            </w:r>
            <w:r w:rsidRPr="00DC0382">
              <w:rPr>
                <w:rFonts w:eastAsia="Times New Roman"/>
                <w:b/>
                <w:bCs/>
                <w:sz w:val="20"/>
                <w:szCs w:val="20"/>
                <w:lang w:eastAsia="ar-SA"/>
              </w:rPr>
              <w:t>=20</w:t>
            </w:r>
          </w:p>
        </w:tc>
      </w:tr>
      <w:tr w:rsidR="00A34F57" w:rsidRPr="00DC0382" w:rsidTr="004B483B">
        <w:trPr>
          <w:trHeight w:val="690"/>
        </w:trPr>
        <w:tc>
          <w:tcPr>
            <w:tcW w:w="2463" w:type="dxa"/>
            <w:vAlign w:val="center"/>
          </w:tcPr>
          <w:p w:rsidR="00A34F57" w:rsidRPr="00DC0382" w:rsidRDefault="00A34F57" w:rsidP="00036DC3">
            <w:pPr>
              <w:spacing w:line="360" w:lineRule="auto"/>
              <w:rPr>
                <w:rFonts w:eastAsia="Times New Roman"/>
                <w:sz w:val="20"/>
                <w:szCs w:val="20"/>
                <w:lang w:val="en-US" w:eastAsia="ru-RU"/>
              </w:rPr>
            </w:pPr>
            <w:r w:rsidRPr="00DC0382">
              <w:rPr>
                <w:rFonts w:eastAsia="Times New Roman"/>
                <w:sz w:val="20"/>
                <w:szCs w:val="20"/>
                <w:lang w:val="en-US" w:eastAsia="ru-RU"/>
              </w:rPr>
              <w:t>LPS, EU/</w:t>
            </w:r>
            <w:r w:rsidR="00036DC3" w:rsidRPr="00DC0382">
              <w:rPr>
                <w:rFonts w:eastAsia="Times New Roman"/>
                <w:sz w:val="20"/>
                <w:szCs w:val="20"/>
                <w:lang w:val="en-US" w:eastAsia="ru-RU"/>
              </w:rPr>
              <w:t>ml</w:t>
            </w:r>
          </w:p>
        </w:tc>
        <w:tc>
          <w:tcPr>
            <w:tcW w:w="2463" w:type="dxa"/>
            <w:vAlign w:val="center"/>
          </w:tcPr>
          <w:p w:rsidR="00A34F57" w:rsidRPr="00DC0382" w:rsidRDefault="00A34F57" w:rsidP="00A34F57">
            <w:pPr>
              <w:spacing w:line="360" w:lineRule="auto"/>
              <w:jc w:val="center"/>
              <w:rPr>
                <w:rFonts w:eastAsia="Times New Roman"/>
                <w:sz w:val="20"/>
                <w:szCs w:val="20"/>
                <w:vertAlign w:val="superscript"/>
                <w:lang w:eastAsia="ru-RU"/>
              </w:rPr>
            </w:pPr>
            <w:r w:rsidRPr="00DC0382">
              <w:rPr>
                <w:rFonts w:eastAsia="Times New Roman"/>
                <w:sz w:val="20"/>
                <w:szCs w:val="20"/>
                <w:lang w:eastAsia="ru-RU"/>
              </w:rPr>
              <w:t>2</w:t>
            </w:r>
            <w:r w:rsidR="00CD554A">
              <w:rPr>
                <w:rFonts w:eastAsia="Times New Roman"/>
                <w:sz w:val="20"/>
                <w:szCs w:val="20"/>
                <w:lang w:val="en-US" w:eastAsia="ru-RU"/>
              </w:rPr>
              <w:t>,</w:t>
            </w:r>
            <w:r w:rsidRPr="00DC0382">
              <w:rPr>
                <w:rFonts w:eastAsia="Times New Roman"/>
                <w:sz w:val="20"/>
                <w:szCs w:val="20"/>
                <w:lang w:eastAsia="ru-RU"/>
              </w:rPr>
              <w:t>1±0</w:t>
            </w:r>
            <w:r w:rsidR="00CD554A">
              <w:rPr>
                <w:rFonts w:eastAsia="Times New Roman"/>
                <w:sz w:val="20"/>
                <w:szCs w:val="20"/>
                <w:lang w:val="en-US" w:eastAsia="ru-RU"/>
              </w:rPr>
              <w:t>,</w:t>
            </w:r>
            <w:r w:rsidRPr="00DC0382">
              <w:rPr>
                <w:rFonts w:eastAsia="Times New Roman"/>
                <w:sz w:val="20"/>
                <w:szCs w:val="20"/>
                <w:lang w:eastAsia="ru-RU"/>
              </w:rPr>
              <w:t>1</w:t>
            </w:r>
            <w:r w:rsidRPr="00DC0382">
              <w:rPr>
                <w:rFonts w:eastAsia="Times New Roman"/>
                <w:sz w:val="20"/>
                <w:szCs w:val="20"/>
                <w:vertAlign w:val="superscript"/>
                <w:lang w:eastAsia="ru-RU"/>
              </w:rPr>
              <w:t>1</w:t>
            </w:r>
          </w:p>
        </w:tc>
        <w:tc>
          <w:tcPr>
            <w:tcW w:w="2464" w:type="dxa"/>
            <w:vAlign w:val="center"/>
          </w:tcPr>
          <w:p w:rsidR="00A34F57" w:rsidRPr="00DC0382" w:rsidRDefault="00A34F57" w:rsidP="00A34F57">
            <w:pPr>
              <w:spacing w:line="360" w:lineRule="auto"/>
              <w:jc w:val="center"/>
              <w:rPr>
                <w:rFonts w:eastAsia="Times New Roman"/>
                <w:sz w:val="20"/>
                <w:szCs w:val="20"/>
                <w:lang w:eastAsia="ru-RU"/>
              </w:rPr>
            </w:pPr>
            <w:r w:rsidRPr="00DC0382">
              <w:rPr>
                <w:rFonts w:eastAsia="Times New Roman"/>
                <w:sz w:val="20"/>
                <w:szCs w:val="20"/>
                <w:lang w:eastAsia="ru-RU"/>
              </w:rPr>
              <w:t>1</w:t>
            </w:r>
            <w:r w:rsidR="00CD554A">
              <w:rPr>
                <w:rFonts w:eastAsia="Times New Roman"/>
                <w:sz w:val="20"/>
                <w:szCs w:val="20"/>
                <w:lang w:val="en-US" w:eastAsia="ru-RU"/>
              </w:rPr>
              <w:t>,</w:t>
            </w:r>
            <w:r w:rsidRPr="00DC0382">
              <w:rPr>
                <w:rFonts w:eastAsia="Times New Roman"/>
                <w:sz w:val="20"/>
                <w:szCs w:val="20"/>
                <w:lang w:eastAsia="ru-RU"/>
              </w:rPr>
              <w:t>9±0</w:t>
            </w:r>
            <w:r w:rsidR="00CD554A">
              <w:rPr>
                <w:rFonts w:eastAsia="Times New Roman"/>
                <w:sz w:val="20"/>
                <w:szCs w:val="20"/>
                <w:lang w:val="en-US" w:eastAsia="ru-RU"/>
              </w:rPr>
              <w:t>,</w:t>
            </w:r>
            <w:r w:rsidRPr="00DC0382">
              <w:rPr>
                <w:rFonts w:eastAsia="Times New Roman"/>
                <w:sz w:val="20"/>
                <w:szCs w:val="20"/>
                <w:lang w:eastAsia="ru-RU"/>
              </w:rPr>
              <w:t>1</w:t>
            </w:r>
            <w:r w:rsidRPr="00DC0382">
              <w:rPr>
                <w:rFonts w:eastAsia="Times New Roman"/>
                <w:sz w:val="20"/>
                <w:szCs w:val="20"/>
                <w:vertAlign w:val="superscript"/>
                <w:lang w:eastAsia="ru-RU"/>
              </w:rPr>
              <w:t>1</w:t>
            </w:r>
          </w:p>
        </w:tc>
        <w:tc>
          <w:tcPr>
            <w:tcW w:w="2464" w:type="dxa"/>
            <w:vAlign w:val="center"/>
          </w:tcPr>
          <w:p w:rsidR="00A34F57" w:rsidRPr="00DC0382" w:rsidRDefault="00A34F57" w:rsidP="00A34F57">
            <w:pPr>
              <w:spacing w:line="360" w:lineRule="auto"/>
              <w:jc w:val="center"/>
              <w:rPr>
                <w:rFonts w:eastAsia="Times New Roman"/>
                <w:sz w:val="20"/>
                <w:szCs w:val="20"/>
                <w:lang w:eastAsia="ru-RU"/>
              </w:rPr>
            </w:pPr>
            <w:r w:rsidRPr="00DC0382">
              <w:rPr>
                <w:rFonts w:eastAsia="Times New Roman"/>
                <w:sz w:val="20"/>
                <w:szCs w:val="20"/>
                <w:lang w:eastAsia="ru-RU"/>
              </w:rPr>
              <w:t>0</w:t>
            </w:r>
            <w:r w:rsidR="00CD554A">
              <w:rPr>
                <w:rFonts w:eastAsia="Times New Roman"/>
                <w:sz w:val="20"/>
                <w:szCs w:val="20"/>
                <w:lang w:val="en-US" w:eastAsia="ru-RU"/>
              </w:rPr>
              <w:t>,</w:t>
            </w:r>
            <w:r w:rsidRPr="00DC0382">
              <w:rPr>
                <w:rFonts w:eastAsia="Times New Roman"/>
                <w:sz w:val="20"/>
                <w:szCs w:val="20"/>
                <w:lang w:eastAsia="ru-RU"/>
              </w:rPr>
              <w:t>52±0</w:t>
            </w:r>
            <w:r w:rsidR="00CD554A">
              <w:rPr>
                <w:rFonts w:eastAsia="Times New Roman"/>
                <w:sz w:val="20"/>
                <w:szCs w:val="20"/>
                <w:lang w:val="en-US" w:eastAsia="ru-RU"/>
              </w:rPr>
              <w:t>,</w:t>
            </w:r>
            <w:r w:rsidRPr="00DC0382">
              <w:rPr>
                <w:rFonts w:eastAsia="Times New Roman"/>
                <w:sz w:val="20"/>
                <w:szCs w:val="20"/>
                <w:lang w:eastAsia="ru-RU"/>
              </w:rPr>
              <w:t>1</w:t>
            </w:r>
          </w:p>
        </w:tc>
      </w:tr>
      <w:tr w:rsidR="00A34F57" w:rsidRPr="00DC0382" w:rsidTr="004B483B">
        <w:trPr>
          <w:trHeight w:val="690"/>
        </w:trPr>
        <w:tc>
          <w:tcPr>
            <w:tcW w:w="2463" w:type="dxa"/>
            <w:vAlign w:val="center"/>
          </w:tcPr>
          <w:p w:rsidR="00A34F57" w:rsidRPr="00DC0382" w:rsidRDefault="00A34F57" w:rsidP="00036DC3">
            <w:pPr>
              <w:spacing w:line="360" w:lineRule="auto"/>
              <w:rPr>
                <w:rFonts w:eastAsia="Times New Roman"/>
                <w:sz w:val="20"/>
                <w:szCs w:val="20"/>
                <w:lang w:val="en-US" w:eastAsia="ru-RU"/>
              </w:rPr>
            </w:pPr>
            <w:r w:rsidRPr="00DC0382">
              <w:rPr>
                <w:rFonts w:eastAsia="Times New Roman"/>
                <w:sz w:val="20"/>
                <w:szCs w:val="20"/>
                <w:lang w:val="en-US" w:eastAsia="ru-RU"/>
              </w:rPr>
              <w:t xml:space="preserve">LBP, </w:t>
            </w:r>
            <w:proofErr w:type="spellStart"/>
            <w:r w:rsidR="00036DC3" w:rsidRPr="00DC0382">
              <w:rPr>
                <w:rFonts w:eastAsia="Times New Roman"/>
                <w:sz w:val="20"/>
                <w:szCs w:val="20"/>
                <w:lang w:val="en-US" w:eastAsia="ru-RU"/>
              </w:rPr>
              <w:t>ng</w:t>
            </w:r>
            <w:proofErr w:type="spellEnd"/>
            <w:r w:rsidRPr="00DC0382">
              <w:rPr>
                <w:rFonts w:eastAsia="Times New Roman"/>
                <w:sz w:val="20"/>
                <w:szCs w:val="20"/>
                <w:lang w:val="en-US" w:eastAsia="ru-RU"/>
              </w:rPr>
              <w:t>/</w:t>
            </w:r>
            <w:r w:rsidR="00036DC3" w:rsidRPr="00DC0382">
              <w:rPr>
                <w:rFonts w:eastAsia="Times New Roman"/>
                <w:sz w:val="20"/>
                <w:szCs w:val="20"/>
                <w:lang w:val="en-US" w:eastAsia="ru-RU"/>
              </w:rPr>
              <w:t>ml</w:t>
            </w:r>
          </w:p>
        </w:tc>
        <w:tc>
          <w:tcPr>
            <w:tcW w:w="2463" w:type="dxa"/>
            <w:vAlign w:val="center"/>
          </w:tcPr>
          <w:p w:rsidR="00A34F57" w:rsidRPr="00DC0382" w:rsidRDefault="00A34F57" w:rsidP="00A34F57">
            <w:pPr>
              <w:spacing w:line="360" w:lineRule="auto"/>
              <w:jc w:val="center"/>
              <w:rPr>
                <w:rFonts w:eastAsia="Times New Roman"/>
                <w:sz w:val="20"/>
                <w:szCs w:val="20"/>
                <w:lang w:eastAsia="ru-RU"/>
              </w:rPr>
            </w:pPr>
            <w:r w:rsidRPr="00DC0382">
              <w:rPr>
                <w:rFonts w:eastAsia="Times New Roman"/>
                <w:sz w:val="20"/>
                <w:szCs w:val="20"/>
                <w:lang w:eastAsia="ru-RU"/>
              </w:rPr>
              <w:t>32</w:t>
            </w:r>
            <w:r w:rsidR="00CD554A">
              <w:rPr>
                <w:rFonts w:eastAsia="Times New Roman"/>
                <w:sz w:val="20"/>
                <w:szCs w:val="20"/>
                <w:lang w:val="en-US" w:eastAsia="ru-RU"/>
              </w:rPr>
              <w:t>,</w:t>
            </w:r>
            <w:r w:rsidRPr="00DC0382">
              <w:rPr>
                <w:rFonts w:eastAsia="Times New Roman"/>
                <w:sz w:val="20"/>
                <w:szCs w:val="20"/>
                <w:lang w:eastAsia="ru-RU"/>
              </w:rPr>
              <w:t>7±2</w:t>
            </w:r>
            <w:r w:rsidR="00CD554A">
              <w:rPr>
                <w:rFonts w:eastAsia="Times New Roman"/>
                <w:sz w:val="20"/>
                <w:szCs w:val="20"/>
                <w:lang w:val="en-US" w:eastAsia="ru-RU"/>
              </w:rPr>
              <w:t>,</w:t>
            </w:r>
            <w:r w:rsidRPr="00DC0382">
              <w:rPr>
                <w:rFonts w:eastAsia="Times New Roman"/>
                <w:sz w:val="20"/>
                <w:szCs w:val="20"/>
                <w:lang w:eastAsia="ru-RU"/>
              </w:rPr>
              <w:t>4</w:t>
            </w:r>
            <w:r w:rsidRPr="00DC0382">
              <w:rPr>
                <w:rFonts w:eastAsia="Times New Roman"/>
                <w:sz w:val="20"/>
                <w:szCs w:val="20"/>
                <w:vertAlign w:val="superscript"/>
                <w:lang w:eastAsia="ru-RU"/>
              </w:rPr>
              <w:t>1</w:t>
            </w:r>
            <w:r w:rsidR="00CD554A">
              <w:rPr>
                <w:rFonts w:eastAsia="Times New Roman"/>
                <w:sz w:val="20"/>
                <w:szCs w:val="20"/>
                <w:vertAlign w:val="superscript"/>
                <w:lang w:val="en-US" w:eastAsia="ru-RU"/>
              </w:rPr>
              <w:t>,</w:t>
            </w:r>
            <w:r w:rsidR="006F0BD4" w:rsidRPr="00DC0382">
              <w:rPr>
                <w:rFonts w:eastAsia="Times New Roman"/>
                <w:sz w:val="20"/>
                <w:szCs w:val="20"/>
                <w:vertAlign w:val="superscript"/>
                <w:lang w:eastAsia="ru-RU"/>
              </w:rPr>
              <w:t>.</w:t>
            </w:r>
            <w:r w:rsidRPr="00DC0382">
              <w:rPr>
                <w:rFonts w:eastAsia="Times New Roman"/>
                <w:sz w:val="20"/>
                <w:szCs w:val="20"/>
                <w:vertAlign w:val="superscript"/>
                <w:lang w:eastAsia="ru-RU"/>
              </w:rPr>
              <w:t>2</w:t>
            </w:r>
          </w:p>
        </w:tc>
        <w:tc>
          <w:tcPr>
            <w:tcW w:w="2464" w:type="dxa"/>
            <w:vAlign w:val="center"/>
          </w:tcPr>
          <w:p w:rsidR="00A34F57" w:rsidRPr="00DC0382" w:rsidRDefault="00A34F57" w:rsidP="00A34F57">
            <w:pPr>
              <w:spacing w:line="360" w:lineRule="auto"/>
              <w:jc w:val="center"/>
              <w:rPr>
                <w:rFonts w:eastAsia="Times New Roman"/>
                <w:sz w:val="20"/>
                <w:szCs w:val="20"/>
                <w:lang w:eastAsia="ru-RU"/>
              </w:rPr>
            </w:pPr>
            <w:r w:rsidRPr="00DC0382">
              <w:rPr>
                <w:rFonts w:eastAsia="Times New Roman"/>
                <w:sz w:val="20"/>
                <w:szCs w:val="20"/>
                <w:lang w:eastAsia="ru-RU"/>
              </w:rPr>
              <w:t>22</w:t>
            </w:r>
            <w:r w:rsidR="00CD554A">
              <w:rPr>
                <w:rFonts w:eastAsia="Times New Roman"/>
                <w:sz w:val="20"/>
                <w:szCs w:val="20"/>
                <w:lang w:val="en-US" w:eastAsia="ru-RU"/>
              </w:rPr>
              <w:t>,</w:t>
            </w:r>
            <w:r w:rsidRPr="00DC0382">
              <w:rPr>
                <w:rFonts w:eastAsia="Times New Roman"/>
                <w:sz w:val="20"/>
                <w:szCs w:val="20"/>
                <w:lang w:eastAsia="ru-RU"/>
              </w:rPr>
              <w:t>3±1</w:t>
            </w:r>
            <w:r w:rsidR="00CD554A">
              <w:rPr>
                <w:rFonts w:eastAsia="Times New Roman"/>
                <w:sz w:val="20"/>
                <w:szCs w:val="20"/>
                <w:lang w:val="en-US" w:eastAsia="ru-RU"/>
              </w:rPr>
              <w:t>,</w:t>
            </w:r>
            <w:r w:rsidRPr="00DC0382">
              <w:rPr>
                <w:rFonts w:eastAsia="Times New Roman"/>
                <w:sz w:val="20"/>
                <w:szCs w:val="20"/>
                <w:lang w:eastAsia="ru-RU"/>
              </w:rPr>
              <w:t>6</w:t>
            </w:r>
            <w:r w:rsidRPr="00DC0382">
              <w:rPr>
                <w:rFonts w:eastAsia="Times New Roman"/>
                <w:sz w:val="20"/>
                <w:szCs w:val="20"/>
                <w:vertAlign w:val="superscript"/>
                <w:lang w:eastAsia="ru-RU"/>
              </w:rPr>
              <w:t>1</w:t>
            </w:r>
          </w:p>
        </w:tc>
        <w:tc>
          <w:tcPr>
            <w:tcW w:w="2464" w:type="dxa"/>
            <w:vAlign w:val="center"/>
          </w:tcPr>
          <w:p w:rsidR="00A34F57" w:rsidRPr="00DC0382" w:rsidRDefault="00A34F57" w:rsidP="00A34F57">
            <w:pPr>
              <w:spacing w:line="360" w:lineRule="auto"/>
              <w:jc w:val="center"/>
              <w:rPr>
                <w:rFonts w:eastAsia="Times New Roman"/>
                <w:sz w:val="20"/>
                <w:szCs w:val="20"/>
                <w:lang w:eastAsia="ru-RU"/>
              </w:rPr>
            </w:pPr>
            <w:r w:rsidRPr="00DC0382">
              <w:rPr>
                <w:rFonts w:eastAsia="Times New Roman"/>
                <w:sz w:val="20"/>
                <w:szCs w:val="20"/>
                <w:lang w:eastAsia="ru-RU"/>
              </w:rPr>
              <w:t>6</w:t>
            </w:r>
            <w:r w:rsidR="00CD554A">
              <w:rPr>
                <w:rFonts w:eastAsia="Times New Roman"/>
                <w:sz w:val="20"/>
                <w:szCs w:val="20"/>
                <w:lang w:val="en-US" w:eastAsia="ru-RU"/>
              </w:rPr>
              <w:t>,</w:t>
            </w:r>
            <w:r w:rsidRPr="00DC0382">
              <w:rPr>
                <w:rFonts w:eastAsia="Times New Roman"/>
                <w:sz w:val="20"/>
                <w:szCs w:val="20"/>
                <w:lang w:eastAsia="ru-RU"/>
              </w:rPr>
              <w:t>7±0</w:t>
            </w:r>
            <w:r w:rsidR="00CD554A">
              <w:rPr>
                <w:rFonts w:eastAsia="Times New Roman"/>
                <w:sz w:val="20"/>
                <w:szCs w:val="20"/>
                <w:lang w:val="en-US" w:eastAsia="ru-RU"/>
              </w:rPr>
              <w:t>,</w:t>
            </w:r>
            <w:r w:rsidRPr="00DC0382">
              <w:rPr>
                <w:rFonts w:eastAsia="Times New Roman"/>
                <w:sz w:val="20"/>
                <w:szCs w:val="20"/>
                <w:lang w:eastAsia="ru-RU"/>
              </w:rPr>
              <w:t>7</w:t>
            </w:r>
          </w:p>
        </w:tc>
      </w:tr>
      <w:tr w:rsidR="00A34F57" w:rsidRPr="00DC0382" w:rsidTr="004B483B">
        <w:trPr>
          <w:trHeight w:val="690"/>
        </w:trPr>
        <w:tc>
          <w:tcPr>
            <w:tcW w:w="2463" w:type="dxa"/>
            <w:vAlign w:val="center"/>
          </w:tcPr>
          <w:p w:rsidR="00A34F57" w:rsidRPr="00DC0382" w:rsidRDefault="00036DC3" w:rsidP="00036DC3">
            <w:pPr>
              <w:spacing w:line="360" w:lineRule="auto"/>
              <w:rPr>
                <w:rFonts w:eastAsia="Times New Roman"/>
                <w:sz w:val="20"/>
                <w:szCs w:val="20"/>
                <w:lang w:val="en-US" w:eastAsia="ru-RU"/>
              </w:rPr>
            </w:pPr>
            <w:r w:rsidRPr="00DC0382">
              <w:rPr>
                <w:rFonts w:eastAsia="Times New Roman"/>
                <w:sz w:val="20"/>
                <w:szCs w:val="20"/>
                <w:lang w:val="en-US" w:eastAsia="ru-RU"/>
              </w:rPr>
              <w:t>anti</w:t>
            </w:r>
            <w:r w:rsidR="00A34F57" w:rsidRPr="00DC0382">
              <w:rPr>
                <w:rFonts w:eastAsia="Times New Roman"/>
                <w:sz w:val="20"/>
                <w:szCs w:val="20"/>
                <w:lang w:val="en-US" w:eastAsia="ru-RU"/>
              </w:rPr>
              <w:t>-LPS-</w:t>
            </w:r>
            <w:proofErr w:type="spellStart"/>
            <w:r w:rsidR="00A34F57" w:rsidRPr="00DC0382">
              <w:rPr>
                <w:rFonts w:eastAsia="Times New Roman"/>
                <w:sz w:val="20"/>
                <w:szCs w:val="20"/>
                <w:lang w:val="en-US" w:eastAsia="ru-RU"/>
              </w:rPr>
              <w:t>IgG</w:t>
            </w:r>
            <w:proofErr w:type="spellEnd"/>
            <w:r w:rsidR="006F0BD4" w:rsidRPr="00DC0382">
              <w:rPr>
                <w:rFonts w:eastAsia="Times New Roman"/>
                <w:sz w:val="20"/>
                <w:szCs w:val="20"/>
                <w:lang w:val="en-US" w:eastAsia="ru-RU"/>
              </w:rPr>
              <w:t xml:space="preserve"> </w:t>
            </w:r>
            <w:proofErr w:type="spellStart"/>
            <w:r w:rsidR="00A34F57" w:rsidRPr="00DC0382">
              <w:rPr>
                <w:rFonts w:eastAsia="Times New Roman"/>
                <w:sz w:val="20"/>
                <w:szCs w:val="20"/>
                <w:lang w:val="en-US" w:eastAsia="ru-RU"/>
              </w:rPr>
              <w:t>EndoC</w:t>
            </w:r>
            <w:proofErr w:type="spellEnd"/>
            <w:r w:rsidR="00A34F57" w:rsidRPr="00DC0382">
              <w:rPr>
                <w:rFonts w:eastAsia="Times New Roman"/>
                <w:sz w:val="20"/>
                <w:szCs w:val="20"/>
                <w:lang w:eastAsia="ru-RU"/>
              </w:rPr>
              <w:t>а</w:t>
            </w:r>
            <w:r w:rsidR="00A34F57" w:rsidRPr="00DC0382">
              <w:rPr>
                <w:rFonts w:eastAsia="Times New Roman"/>
                <w:sz w:val="20"/>
                <w:szCs w:val="20"/>
                <w:lang w:val="en-US" w:eastAsia="ru-RU"/>
              </w:rPr>
              <w:t>b</w:t>
            </w:r>
            <w:r w:rsidRPr="00DC0382">
              <w:rPr>
                <w:rFonts w:eastAsia="Times New Roman"/>
                <w:sz w:val="20"/>
                <w:szCs w:val="20"/>
                <w:lang w:val="en-US" w:eastAsia="ru-RU"/>
              </w:rPr>
              <w:t xml:space="preserve">, </w:t>
            </w:r>
            <w:r w:rsidR="00A34F57" w:rsidRPr="00DC0382">
              <w:rPr>
                <w:rFonts w:eastAsia="Times New Roman"/>
                <w:sz w:val="20"/>
                <w:szCs w:val="20"/>
                <w:lang w:eastAsia="ru-RU"/>
              </w:rPr>
              <w:t>М</w:t>
            </w:r>
            <w:r w:rsidR="00A34F57" w:rsidRPr="00DC0382">
              <w:rPr>
                <w:rFonts w:eastAsia="Times New Roman"/>
                <w:sz w:val="20"/>
                <w:szCs w:val="20"/>
                <w:lang w:val="en-US" w:eastAsia="ru-RU"/>
              </w:rPr>
              <w:t>U/</w:t>
            </w:r>
            <w:r w:rsidRPr="00DC0382">
              <w:rPr>
                <w:rFonts w:eastAsia="Times New Roman"/>
                <w:sz w:val="20"/>
                <w:szCs w:val="20"/>
                <w:lang w:val="en-US" w:eastAsia="ru-RU"/>
              </w:rPr>
              <w:t>ml</w:t>
            </w:r>
          </w:p>
        </w:tc>
        <w:tc>
          <w:tcPr>
            <w:tcW w:w="2463" w:type="dxa"/>
            <w:vAlign w:val="center"/>
          </w:tcPr>
          <w:p w:rsidR="00A34F57" w:rsidRPr="00DC0382" w:rsidRDefault="00A34F57" w:rsidP="00A34F57">
            <w:pPr>
              <w:spacing w:line="360" w:lineRule="auto"/>
              <w:jc w:val="center"/>
              <w:rPr>
                <w:rFonts w:eastAsia="Times New Roman"/>
                <w:sz w:val="20"/>
                <w:szCs w:val="20"/>
                <w:lang w:eastAsia="ru-RU"/>
              </w:rPr>
            </w:pPr>
            <w:r w:rsidRPr="00DC0382">
              <w:rPr>
                <w:rFonts w:eastAsia="Times New Roman"/>
                <w:sz w:val="20"/>
                <w:szCs w:val="20"/>
                <w:lang w:eastAsia="ru-RU"/>
              </w:rPr>
              <w:t>74</w:t>
            </w:r>
            <w:r w:rsidR="00CD554A">
              <w:rPr>
                <w:rFonts w:eastAsia="Times New Roman"/>
                <w:sz w:val="20"/>
                <w:szCs w:val="20"/>
                <w:lang w:val="en-US" w:eastAsia="ru-RU"/>
              </w:rPr>
              <w:t>,</w:t>
            </w:r>
            <w:r w:rsidRPr="00DC0382">
              <w:rPr>
                <w:rFonts w:eastAsia="Times New Roman"/>
                <w:sz w:val="20"/>
                <w:szCs w:val="20"/>
                <w:lang w:eastAsia="ru-RU"/>
              </w:rPr>
              <w:t>9±7</w:t>
            </w:r>
            <w:r w:rsidR="00CD554A">
              <w:rPr>
                <w:rFonts w:eastAsia="Times New Roman"/>
                <w:sz w:val="20"/>
                <w:szCs w:val="20"/>
                <w:lang w:val="en-US" w:eastAsia="ru-RU"/>
              </w:rPr>
              <w:t>,</w:t>
            </w:r>
            <w:r w:rsidRPr="00DC0382">
              <w:rPr>
                <w:rFonts w:eastAsia="Times New Roman"/>
                <w:sz w:val="20"/>
                <w:szCs w:val="20"/>
                <w:lang w:eastAsia="ru-RU"/>
              </w:rPr>
              <w:t>0</w:t>
            </w:r>
            <w:r w:rsidRPr="00DC0382">
              <w:rPr>
                <w:rFonts w:eastAsia="Times New Roman"/>
                <w:sz w:val="20"/>
                <w:szCs w:val="20"/>
                <w:vertAlign w:val="superscript"/>
                <w:lang w:eastAsia="ru-RU"/>
              </w:rPr>
              <w:t>1</w:t>
            </w:r>
          </w:p>
        </w:tc>
        <w:tc>
          <w:tcPr>
            <w:tcW w:w="2464" w:type="dxa"/>
            <w:vAlign w:val="center"/>
          </w:tcPr>
          <w:p w:rsidR="00A34F57" w:rsidRPr="00DC0382" w:rsidRDefault="00A34F57" w:rsidP="00A34F57">
            <w:pPr>
              <w:spacing w:line="360" w:lineRule="auto"/>
              <w:jc w:val="center"/>
              <w:rPr>
                <w:rFonts w:eastAsia="Times New Roman"/>
                <w:sz w:val="20"/>
                <w:szCs w:val="20"/>
                <w:lang w:eastAsia="ru-RU"/>
              </w:rPr>
            </w:pPr>
            <w:r w:rsidRPr="00DC0382">
              <w:rPr>
                <w:rFonts w:eastAsia="Times New Roman"/>
                <w:sz w:val="20"/>
                <w:szCs w:val="20"/>
                <w:lang w:eastAsia="ru-RU"/>
              </w:rPr>
              <w:t>84</w:t>
            </w:r>
            <w:r w:rsidR="00CD554A">
              <w:rPr>
                <w:rFonts w:eastAsia="Times New Roman"/>
                <w:sz w:val="20"/>
                <w:szCs w:val="20"/>
                <w:lang w:val="en-US" w:eastAsia="ru-RU"/>
              </w:rPr>
              <w:t>,</w:t>
            </w:r>
            <w:r w:rsidRPr="00DC0382">
              <w:rPr>
                <w:rFonts w:eastAsia="Times New Roman"/>
                <w:sz w:val="20"/>
                <w:szCs w:val="20"/>
                <w:lang w:eastAsia="ru-RU"/>
              </w:rPr>
              <w:t>2±3</w:t>
            </w:r>
            <w:r w:rsidR="00CD554A">
              <w:rPr>
                <w:rFonts w:eastAsia="Times New Roman"/>
                <w:sz w:val="20"/>
                <w:szCs w:val="20"/>
                <w:lang w:val="en-US" w:eastAsia="ru-RU"/>
              </w:rPr>
              <w:t>,</w:t>
            </w:r>
            <w:r w:rsidRPr="00DC0382">
              <w:rPr>
                <w:rFonts w:eastAsia="Times New Roman"/>
                <w:sz w:val="20"/>
                <w:szCs w:val="20"/>
                <w:lang w:eastAsia="ru-RU"/>
              </w:rPr>
              <w:t>4</w:t>
            </w:r>
            <w:r w:rsidRPr="00DC0382">
              <w:rPr>
                <w:rFonts w:eastAsia="Times New Roman"/>
                <w:sz w:val="20"/>
                <w:szCs w:val="20"/>
                <w:vertAlign w:val="superscript"/>
                <w:lang w:eastAsia="ru-RU"/>
              </w:rPr>
              <w:t>1</w:t>
            </w:r>
          </w:p>
        </w:tc>
        <w:tc>
          <w:tcPr>
            <w:tcW w:w="2464" w:type="dxa"/>
            <w:vAlign w:val="center"/>
          </w:tcPr>
          <w:p w:rsidR="00A34F57" w:rsidRPr="00DC0382" w:rsidRDefault="00A34F57" w:rsidP="00A34F57">
            <w:pPr>
              <w:spacing w:line="360" w:lineRule="auto"/>
              <w:jc w:val="center"/>
              <w:rPr>
                <w:rFonts w:eastAsia="Times New Roman"/>
                <w:sz w:val="20"/>
                <w:szCs w:val="20"/>
                <w:lang w:eastAsia="ru-RU"/>
              </w:rPr>
            </w:pPr>
            <w:r w:rsidRPr="00DC0382">
              <w:rPr>
                <w:rFonts w:eastAsia="Times New Roman"/>
                <w:sz w:val="20"/>
                <w:szCs w:val="20"/>
                <w:lang w:eastAsia="ru-RU"/>
              </w:rPr>
              <w:t>107</w:t>
            </w:r>
            <w:r w:rsidR="00CD554A">
              <w:rPr>
                <w:rFonts w:eastAsia="Times New Roman"/>
                <w:sz w:val="20"/>
                <w:szCs w:val="20"/>
                <w:lang w:val="en-US" w:eastAsia="ru-RU"/>
              </w:rPr>
              <w:t>,</w:t>
            </w:r>
            <w:r w:rsidRPr="00DC0382">
              <w:rPr>
                <w:rFonts w:eastAsia="Times New Roman"/>
                <w:sz w:val="20"/>
                <w:szCs w:val="20"/>
                <w:lang w:eastAsia="ru-RU"/>
              </w:rPr>
              <w:t>2±5</w:t>
            </w:r>
            <w:r w:rsidR="00CD554A">
              <w:rPr>
                <w:rFonts w:eastAsia="Times New Roman"/>
                <w:sz w:val="20"/>
                <w:szCs w:val="20"/>
                <w:lang w:val="en-US" w:eastAsia="ru-RU"/>
              </w:rPr>
              <w:t>,</w:t>
            </w:r>
            <w:r w:rsidRPr="00DC0382">
              <w:rPr>
                <w:rFonts w:eastAsia="Times New Roman"/>
                <w:sz w:val="20"/>
                <w:szCs w:val="20"/>
                <w:lang w:eastAsia="ru-RU"/>
              </w:rPr>
              <w:t>3</w:t>
            </w:r>
          </w:p>
        </w:tc>
      </w:tr>
      <w:tr w:rsidR="00A34F57" w:rsidRPr="00DC0382" w:rsidTr="004B483B">
        <w:trPr>
          <w:trHeight w:val="690"/>
        </w:trPr>
        <w:tc>
          <w:tcPr>
            <w:tcW w:w="2463" w:type="dxa"/>
            <w:vAlign w:val="center"/>
          </w:tcPr>
          <w:p w:rsidR="00A34F57" w:rsidRPr="00DC0382" w:rsidRDefault="00036DC3" w:rsidP="00036DC3">
            <w:pPr>
              <w:spacing w:line="360" w:lineRule="auto"/>
              <w:rPr>
                <w:rFonts w:eastAsia="Times New Roman"/>
                <w:sz w:val="20"/>
                <w:szCs w:val="20"/>
                <w:lang w:val="en-US" w:eastAsia="ru-RU"/>
              </w:rPr>
            </w:pPr>
            <w:r w:rsidRPr="00DC0382">
              <w:rPr>
                <w:rFonts w:eastAsia="Times New Roman"/>
                <w:sz w:val="20"/>
                <w:szCs w:val="20"/>
                <w:lang w:val="en-US" w:eastAsia="ru-RU"/>
              </w:rPr>
              <w:t>anti</w:t>
            </w:r>
            <w:r w:rsidR="00A34F57" w:rsidRPr="00DC0382">
              <w:rPr>
                <w:rFonts w:eastAsia="Times New Roman"/>
                <w:sz w:val="20"/>
                <w:szCs w:val="20"/>
                <w:lang w:val="en-US" w:eastAsia="ru-RU"/>
              </w:rPr>
              <w:t>-LPS-</w:t>
            </w:r>
            <w:proofErr w:type="spellStart"/>
            <w:r w:rsidR="00A34F57" w:rsidRPr="00DC0382">
              <w:rPr>
                <w:rFonts w:eastAsia="Times New Roman"/>
                <w:sz w:val="20"/>
                <w:szCs w:val="20"/>
                <w:lang w:val="en-US" w:eastAsia="ru-RU"/>
              </w:rPr>
              <w:t>IgM</w:t>
            </w:r>
            <w:proofErr w:type="spellEnd"/>
            <w:r w:rsidR="006F0BD4" w:rsidRPr="00DC0382">
              <w:rPr>
                <w:rFonts w:eastAsia="Times New Roman"/>
                <w:sz w:val="20"/>
                <w:szCs w:val="20"/>
                <w:lang w:val="en-US" w:eastAsia="ru-RU"/>
              </w:rPr>
              <w:t xml:space="preserve"> </w:t>
            </w:r>
            <w:proofErr w:type="spellStart"/>
            <w:r w:rsidR="00A34F57" w:rsidRPr="00DC0382">
              <w:rPr>
                <w:rFonts w:eastAsia="Times New Roman"/>
                <w:sz w:val="20"/>
                <w:szCs w:val="20"/>
                <w:lang w:val="en-US" w:eastAsia="ru-RU"/>
              </w:rPr>
              <w:t>EndoC</w:t>
            </w:r>
            <w:proofErr w:type="spellEnd"/>
            <w:r w:rsidR="00A34F57" w:rsidRPr="00DC0382">
              <w:rPr>
                <w:rFonts w:eastAsia="Times New Roman"/>
                <w:sz w:val="20"/>
                <w:szCs w:val="20"/>
                <w:lang w:eastAsia="ru-RU"/>
              </w:rPr>
              <w:t>а</w:t>
            </w:r>
            <w:r w:rsidR="00A34F57" w:rsidRPr="00DC0382">
              <w:rPr>
                <w:rFonts w:eastAsia="Times New Roman"/>
                <w:sz w:val="20"/>
                <w:szCs w:val="20"/>
                <w:lang w:val="en-US" w:eastAsia="ru-RU"/>
              </w:rPr>
              <w:t>b</w:t>
            </w:r>
            <w:r w:rsidRPr="00DC0382">
              <w:rPr>
                <w:rFonts w:eastAsia="Times New Roman"/>
                <w:sz w:val="20"/>
                <w:szCs w:val="20"/>
                <w:lang w:val="en-US" w:eastAsia="ru-RU"/>
              </w:rPr>
              <w:t xml:space="preserve">, </w:t>
            </w:r>
            <w:r w:rsidR="00A34F57" w:rsidRPr="00DC0382">
              <w:rPr>
                <w:rFonts w:eastAsia="Times New Roman"/>
                <w:sz w:val="20"/>
                <w:szCs w:val="20"/>
                <w:lang w:eastAsia="ru-RU"/>
              </w:rPr>
              <w:t>М</w:t>
            </w:r>
            <w:r w:rsidR="00A34F57" w:rsidRPr="00DC0382">
              <w:rPr>
                <w:rFonts w:eastAsia="Times New Roman"/>
                <w:sz w:val="20"/>
                <w:szCs w:val="20"/>
                <w:lang w:val="en-US" w:eastAsia="ru-RU"/>
              </w:rPr>
              <w:t>U/</w:t>
            </w:r>
            <w:r w:rsidRPr="00DC0382">
              <w:rPr>
                <w:rFonts w:eastAsia="Times New Roman"/>
                <w:sz w:val="20"/>
                <w:szCs w:val="20"/>
                <w:lang w:val="en-US" w:eastAsia="ru-RU"/>
              </w:rPr>
              <w:t>ml</w:t>
            </w:r>
          </w:p>
        </w:tc>
        <w:tc>
          <w:tcPr>
            <w:tcW w:w="2463" w:type="dxa"/>
            <w:vAlign w:val="center"/>
          </w:tcPr>
          <w:p w:rsidR="00A34F57" w:rsidRPr="00DC0382" w:rsidRDefault="00A34F57" w:rsidP="00A34F57">
            <w:pPr>
              <w:spacing w:line="360" w:lineRule="auto"/>
              <w:jc w:val="center"/>
              <w:rPr>
                <w:rFonts w:eastAsia="Times New Roman"/>
                <w:sz w:val="20"/>
                <w:szCs w:val="20"/>
                <w:lang w:eastAsia="ru-RU"/>
              </w:rPr>
            </w:pPr>
            <w:r w:rsidRPr="00DC0382">
              <w:rPr>
                <w:rFonts w:eastAsia="Times New Roman"/>
                <w:sz w:val="20"/>
                <w:szCs w:val="20"/>
                <w:lang w:eastAsia="ru-RU"/>
              </w:rPr>
              <w:t>77</w:t>
            </w:r>
            <w:r w:rsidR="00CD554A">
              <w:rPr>
                <w:rFonts w:eastAsia="Times New Roman"/>
                <w:sz w:val="20"/>
                <w:szCs w:val="20"/>
                <w:lang w:val="en-US" w:eastAsia="ru-RU"/>
              </w:rPr>
              <w:t>,</w:t>
            </w:r>
            <w:r w:rsidRPr="00DC0382">
              <w:rPr>
                <w:rFonts w:eastAsia="Times New Roman"/>
                <w:sz w:val="20"/>
                <w:szCs w:val="20"/>
                <w:lang w:eastAsia="ru-RU"/>
              </w:rPr>
              <w:t>7±5</w:t>
            </w:r>
            <w:r w:rsidR="00CD554A">
              <w:rPr>
                <w:rFonts w:eastAsia="Times New Roman"/>
                <w:sz w:val="20"/>
                <w:szCs w:val="20"/>
                <w:lang w:val="en-US" w:eastAsia="ru-RU"/>
              </w:rPr>
              <w:t>,</w:t>
            </w:r>
            <w:r w:rsidRPr="00DC0382">
              <w:rPr>
                <w:rFonts w:eastAsia="Times New Roman"/>
                <w:sz w:val="20"/>
                <w:szCs w:val="20"/>
                <w:lang w:eastAsia="ru-RU"/>
              </w:rPr>
              <w:t>3</w:t>
            </w:r>
            <w:r w:rsidRPr="00DC0382">
              <w:rPr>
                <w:rFonts w:eastAsia="Times New Roman"/>
                <w:sz w:val="20"/>
                <w:szCs w:val="20"/>
                <w:vertAlign w:val="superscript"/>
                <w:lang w:eastAsia="ru-RU"/>
              </w:rPr>
              <w:t>1</w:t>
            </w:r>
          </w:p>
        </w:tc>
        <w:tc>
          <w:tcPr>
            <w:tcW w:w="2464" w:type="dxa"/>
            <w:vAlign w:val="center"/>
          </w:tcPr>
          <w:p w:rsidR="00A34F57" w:rsidRPr="00DC0382" w:rsidRDefault="00A34F57" w:rsidP="00A34F57">
            <w:pPr>
              <w:spacing w:line="360" w:lineRule="auto"/>
              <w:jc w:val="center"/>
              <w:rPr>
                <w:rFonts w:eastAsia="Times New Roman"/>
                <w:sz w:val="20"/>
                <w:szCs w:val="20"/>
                <w:lang w:eastAsia="ru-RU"/>
              </w:rPr>
            </w:pPr>
            <w:r w:rsidRPr="00DC0382">
              <w:rPr>
                <w:rFonts w:eastAsia="Times New Roman"/>
                <w:sz w:val="20"/>
                <w:szCs w:val="20"/>
                <w:lang w:eastAsia="ru-RU"/>
              </w:rPr>
              <w:t>84</w:t>
            </w:r>
            <w:r w:rsidR="00CD554A">
              <w:rPr>
                <w:rFonts w:eastAsia="Times New Roman"/>
                <w:sz w:val="20"/>
                <w:szCs w:val="20"/>
                <w:lang w:val="en-US" w:eastAsia="ru-RU"/>
              </w:rPr>
              <w:t>,</w:t>
            </w:r>
            <w:r w:rsidRPr="00DC0382">
              <w:rPr>
                <w:rFonts w:eastAsia="Times New Roman"/>
                <w:sz w:val="20"/>
                <w:szCs w:val="20"/>
                <w:lang w:eastAsia="ru-RU"/>
              </w:rPr>
              <w:t>6±2</w:t>
            </w:r>
            <w:r w:rsidR="00CD554A">
              <w:rPr>
                <w:rFonts w:eastAsia="Times New Roman"/>
                <w:sz w:val="20"/>
                <w:szCs w:val="20"/>
                <w:lang w:val="en-US" w:eastAsia="ru-RU"/>
              </w:rPr>
              <w:t>,</w:t>
            </w:r>
            <w:r w:rsidRPr="00DC0382">
              <w:rPr>
                <w:rFonts w:eastAsia="Times New Roman"/>
                <w:sz w:val="20"/>
                <w:szCs w:val="20"/>
                <w:lang w:eastAsia="ru-RU"/>
              </w:rPr>
              <w:t>8</w:t>
            </w:r>
            <w:r w:rsidRPr="00DC0382">
              <w:rPr>
                <w:rFonts w:eastAsia="Times New Roman"/>
                <w:sz w:val="20"/>
                <w:szCs w:val="20"/>
                <w:vertAlign w:val="superscript"/>
                <w:lang w:eastAsia="ru-RU"/>
              </w:rPr>
              <w:t>1</w:t>
            </w:r>
          </w:p>
        </w:tc>
        <w:tc>
          <w:tcPr>
            <w:tcW w:w="2464" w:type="dxa"/>
            <w:vAlign w:val="center"/>
          </w:tcPr>
          <w:p w:rsidR="00A34F57" w:rsidRPr="00DC0382" w:rsidRDefault="00A34F57" w:rsidP="00A34F57">
            <w:pPr>
              <w:spacing w:line="360" w:lineRule="auto"/>
              <w:jc w:val="center"/>
              <w:rPr>
                <w:rFonts w:eastAsia="Times New Roman"/>
                <w:sz w:val="20"/>
                <w:szCs w:val="20"/>
                <w:lang w:eastAsia="ru-RU"/>
              </w:rPr>
            </w:pPr>
            <w:r w:rsidRPr="00DC0382">
              <w:rPr>
                <w:rFonts w:eastAsia="Times New Roman"/>
                <w:sz w:val="20"/>
                <w:szCs w:val="20"/>
                <w:lang w:eastAsia="ru-RU"/>
              </w:rPr>
              <w:t>110</w:t>
            </w:r>
            <w:r w:rsidR="00CD554A">
              <w:rPr>
                <w:rFonts w:eastAsia="Times New Roman"/>
                <w:sz w:val="20"/>
                <w:szCs w:val="20"/>
                <w:lang w:val="en-US" w:eastAsia="ru-RU"/>
              </w:rPr>
              <w:t>,</w:t>
            </w:r>
            <w:r w:rsidRPr="00DC0382">
              <w:rPr>
                <w:rFonts w:eastAsia="Times New Roman"/>
                <w:sz w:val="20"/>
                <w:szCs w:val="20"/>
                <w:lang w:eastAsia="ru-RU"/>
              </w:rPr>
              <w:t>2±4</w:t>
            </w:r>
            <w:r w:rsidR="00CD554A">
              <w:rPr>
                <w:rFonts w:eastAsia="Times New Roman"/>
                <w:sz w:val="20"/>
                <w:szCs w:val="20"/>
                <w:lang w:val="en-US" w:eastAsia="ru-RU"/>
              </w:rPr>
              <w:t>,</w:t>
            </w:r>
            <w:r w:rsidRPr="00DC0382">
              <w:rPr>
                <w:rFonts w:eastAsia="Times New Roman"/>
                <w:sz w:val="20"/>
                <w:szCs w:val="20"/>
                <w:lang w:eastAsia="ru-RU"/>
              </w:rPr>
              <w:t>3</w:t>
            </w:r>
          </w:p>
        </w:tc>
      </w:tr>
      <w:tr w:rsidR="00A34F57" w:rsidRPr="00DC0382" w:rsidTr="004B483B">
        <w:trPr>
          <w:trHeight w:val="690"/>
        </w:trPr>
        <w:tc>
          <w:tcPr>
            <w:tcW w:w="2463" w:type="dxa"/>
            <w:vAlign w:val="center"/>
          </w:tcPr>
          <w:p w:rsidR="00A34F57" w:rsidRPr="00DC0382" w:rsidRDefault="00036DC3" w:rsidP="00036DC3">
            <w:pPr>
              <w:spacing w:line="360" w:lineRule="auto"/>
              <w:rPr>
                <w:rFonts w:eastAsia="Times New Roman"/>
                <w:sz w:val="20"/>
                <w:szCs w:val="20"/>
                <w:lang w:val="en-US" w:eastAsia="ru-RU"/>
              </w:rPr>
            </w:pPr>
            <w:r w:rsidRPr="00DC0382">
              <w:rPr>
                <w:rFonts w:eastAsia="Times New Roman"/>
                <w:sz w:val="20"/>
                <w:szCs w:val="20"/>
                <w:lang w:val="en-US" w:eastAsia="ru-RU"/>
              </w:rPr>
              <w:t>anti</w:t>
            </w:r>
            <w:r w:rsidR="00A34F57" w:rsidRPr="00DC0382">
              <w:rPr>
                <w:rFonts w:eastAsia="Times New Roman"/>
                <w:sz w:val="20"/>
                <w:szCs w:val="20"/>
                <w:lang w:val="en-US" w:eastAsia="ru-RU"/>
              </w:rPr>
              <w:t>-LPS-</w:t>
            </w:r>
            <w:proofErr w:type="spellStart"/>
            <w:r w:rsidR="00A34F57" w:rsidRPr="00DC0382">
              <w:rPr>
                <w:rFonts w:eastAsia="Times New Roman"/>
                <w:sz w:val="20"/>
                <w:szCs w:val="20"/>
                <w:lang w:val="en-US" w:eastAsia="ru-RU"/>
              </w:rPr>
              <w:t>IgA</w:t>
            </w:r>
            <w:proofErr w:type="spellEnd"/>
            <w:r w:rsidR="006F0BD4" w:rsidRPr="00DC0382">
              <w:rPr>
                <w:rFonts w:eastAsia="Times New Roman"/>
                <w:sz w:val="20"/>
                <w:szCs w:val="20"/>
                <w:lang w:val="en-US" w:eastAsia="ru-RU"/>
              </w:rPr>
              <w:t xml:space="preserve"> </w:t>
            </w:r>
            <w:proofErr w:type="spellStart"/>
            <w:r w:rsidR="00A34F57" w:rsidRPr="00DC0382">
              <w:rPr>
                <w:rFonts w:eastAsia="Times New Roman"/>
                <w:sz w:val="20"/>
                <w:szCs w:val="20"/>
                <w:lang w:val="en-US" w:eastAsia="ru-RU"/>
              </w:rPr>
              <w:t>EndoC</w:t>
            </w:r>
            <w:proofErr w:type="spellEnd"/>
            <w:r w:rsidR="00A34F57" w:rsidRPr="00DC0382">
              <w:rPr>
                <w:rFonts w:eastAsia="Times New Roman"/>
                <w:sz w:val="20"/>
                <w:szCs w:val="20"/>
                <w:lang w:eastAsia="ru-RU"/>
              </w:rPr>
              <w:t>а</w:t>
            </w:r>
            <w:r w:rsidR="00A34F57" w:rsidRPr="00DC0382">
              <w:rPr>
                <w:rFonts w:eastAsia="Times New Roman"/>
                <w:sz w:val="20"/>
                <w:szCs w:val="20"/>
                <w:lang w:val="en-US" w:eastAsia="ru-RU"/>
              </w:rPr>
              <w:t>b</w:t>
            </w:r>
            <w:r w:rsidRPr="00DC0382">
              <w:rPr>
                <w:rFonts w:eastAsia="Times New Roman"/>
                <w:sz w:val="20"/>
                <w:szCs w:val="20"/>
                <w:lang w:val="en-US" w:eastAsia="ru-RU"/>
              </w:rPr>
              <w:t>,</w:t>
            </w:r>
            <w:r w:rsidR="00A34F57" w:rsidRPr="00DC0382">
              <w:rPr>
                <w:rFonts w:eastAsia="Times New Roman"/>
                <w:sz w:val="20"/>
                <w:szCs w:val="20"/>
                <w:lang w:val="en-US" w:eastAsia="ru-RU"/>
              </w:rPr>
              <w:t xml:space="preserve"> </w:t>
            </w:r>
            <w:r w:rsidR="00A34F57" w:rsidRPr="00DC0382">
              <w:rPr>
                <w:rFonts w:eastAsia="Times New Roman"/>
                <w:sz w:val="20"/>
                <w:szCs w:val="20"/>
                <w:lang w:eastAsia="ru-RU"/>
              </w:rPr>
              <w:t>М</w:t>
            </w:r>
            <w:r w:rsidR="00A34F57" w:rsidRPr="00DC0382">
              <w:rPr>
                <w:rFonts w:eastAsia="Times New Roman"/>
                <w:sz w:val="20"/>
                <w:szCs w:val="20"/>
                <w:lang w:val="en-US" w:eastAsia="ru-RU"/>
              </w:rPr>
              <w:t>U/</w:t>
            </w:r>
            <w:r w:rsidRPr="00DC0382">
              <w:rPr>
                <w:rFonts w:eastAsia="Times New Roman"/>
                <w:sz w:val="20"/>
                <w:szCs w:val="20"/>
                <w:lang w:val="en-US" w:eastAsia="ru-RU"/>
              </w:rPr>
              <w:t>ml</w:t>
            </w:r>
          </w:p>
        </w:tc>
        <w:tc>
          <w:tcPr>
            <w:tcW w:w="2463" w:type="dxa"/>
            <w:vAlign w:val="center"/>
          </w:tcPr>
          <w:p w:rsidR="00A34F57" w:rsidRPr="00DC0382" w:rsidRDefault="00A34F57" w:rsidP="00A34F57">
            <w:pPr>
              <w:spacing w:line="360" w:lineRule="auto"/>
              <w:jc w:val="center"/>
              <w:rPr>
                <w:rFonts w:eastAsia="Times New Roman"/>
                <w:sz w:val="20"/>
                <w:szCs w:val="20"/>
                <w:lang w:eastAsia="ru-RU"/>
              </w:rPr>
            </w:pPr>
            <w:r w:rsidRPr="00DC0382">
              <w:rPr>
                <w:rFonts w:eastAsia="Times New Roman"/>
                <w:sz w:val="20"/>
                <w:szCs w:val="20"/>
                <w:lang w:eastAsia="ru-RU"/>
              </w:rPr>
              <w:t>79</w:t>
            </w:r>
            <w:r w:rsidR="00CD554A">
              <w:rPr>
                <w:rFonts w:eastAsia="Times New Roman"/>
                <w:sz w:val="20"/>
                <w:szCs w:val="20"/>
                <w:lang w:val="en-US" w:eastAsia="ru-RU"/>
              </w:rPr>
              <w:t>,</w:t>
            </w:r>
            <w:r w:rsidRPr="00DC0382">
              <w:rPr>
                <w:rFonts w:eastAsia="Times New Roman"/>
                <w:sz w:val="20"/>
                <w:szCs w:val="20"/>
                <w:lang w:eastAsia="ru-RU"/>
              </w:rPr>
              <w:t>0±7</w:t>
            </w:r>
            <w:r w:rsidR="00CD554A">
              <w:rPr>
                <w:rFonts w:eastAsia="Times New Roman"/>
                <w:sz w:val="20"/>
                <w:szCs w:val="20"/>
                <w:lang w:val="en-US" w:eastAsia="ru-RU"/>
              </w:rPr>
              <w:t>,</w:t>
            </w:r>
            <w:r w:rsidRPr="00DC0382">
              <w:rPr>
                <w:rFonts w:eastAsia="Times New Roman"/>
                <w:sz w:val="20"/>
                <w:szCs w:val="20"/>
                <w:lang w:eastAsia="ru-RU"/>
              </w:rPr>
              <w:t>3</w:t>
            </w:r>
            <w:r w:rsidRPr="00DC0382">
              <w:rPr>
                <w:rFonts w:eastAsia="Times New Roman"/>
                <w:sz w:val="20"/>
                <w:szCs w:val="20"/>
                <w:vertAlign w:val="superscript"/>
                <w:lang w:eastAsia="ru-RU"/>
              </w:rPr>
              <w:t>1</w:t>
            </w:r>
          </w:p>
        </w:tc>
        <w:tc>
          <w:tcPr>
            <w:tcW w:w="2464" w:type="dxa"/>
            <w:vAlign w:val="center"/>
          </w:tcPr>
          <w:p w:rsidR="00A34F57" w:rsidRPr="00DC0382" w:rsidRDefault="00A34F57" w:rsidP="00A34F57">
            <w:pPr>
              <w:spacing w:line="360" w:lineRule="auto"/>
              <w:jc w:val="center"/>
              <w:rPr>
                <w:rFonts w:eastAsia="Times New Roman"/>
                <w:sz w:val="20"/>
                <w:szCs w:val="20"/>
                <w:lang w:eastAsia="ru-RU"/>
              </w:rPr>
            </w:pPr>
            <w:r w:rsidRPr="00DC0382">
              <w:rPr>
                <w:rFonts w:eastAsia="Times New Roman"/>
                <w:sz w:val="20"/>
                <w:szCs w:val="20"/>
                <w:lang w:eastAsia="ru-RU"/>
              </w:rPr>
              <w:t>78</w:t>
            </w:r>
            <w:r w:rsidR="00CD554A">
              <w:rPr>
                <w:rFonts w:eastAsia="Times New Roman"/>
                <w:sz w:val="20"/>
                <w:szCs w:val="20"/>
                <w:lang w:val="en-US" w:eastAsia="ru-RU"/>
              </w:rPr>
              <w:t>,</w:t>
            </w:r>
            <w:r w:rsidRPr="00DC0382">
              <w:rPr>
                <w:rFonts w:eastAsia="Times New Roman"/>
                <w:sz w:val="20"/>
                <w:szCs w:val="20"/>
                <w:lang w:eastAsia="ru-RU"/>
              </w:rPr>
              <w:t>9±4</w:t>
            </w:r>
            <w:r w:rsidR="00CD554A">
              <w:rPr>
                <w:rFonts w:eastAsia="Times New Roman"/>
                <w:sz w:val="20"/>
                <w:szCs w:val="20"/>
                <w:lang w:val="en-US" w:eastAsia="ru-RU"/>
              </w:rPr>
              <w:t>,</w:t>
            </w:r>
            <w:r w:rsidRPr="00DC0382">
              <w:rPr>
                <w:rFonts w:eastAsia="Times New Roman"/>
                <w:sz w:val="20"/>
                <w:szCs w:val="20"/>
                <w:lang w:eastAsia="ru-RU"/>
              </w:rPr>
              <w:t>2</w:t>
            </w:r>
            <w:r w:rsidRPr="00DC0382">
              <w:rPr>
                <w:rFonts w:eastAsia="Times New Roman"/>
                <w:sz w:val="20"/>
                <w:szCs w:val="20"/>
                <w:vertAlign w:val="superscript"/>
                <w:lang w:eastAsia="ru-RU"/>
              </w:rPr>
              <w:t>1</w:t>
            </w:r>
          </w:p>
        </w:tc>
        <w:tc>
          <w:tcPr>
            <w:tcW w:w="2464" w:type="dxa"/>
            <w:vAlign w:val="center"/>
          </w:tcPr>
          <w:p w:rsidR="00A34F57" w:rsidRPr="00DC0382" w:rsidRDefault="00A34F57" w:rsidP="00A34F57">
            <w:pPr>
              <w:spacing w:line="360" w:lineRule="auto"/>
              <w:jc w:val="center"/>
              <w:rPr>
                <w:rFonts w:eastAsia="Times New Roman"/>
                <w:sz w:val="20"/>
                <w:szCs w:val="20"/>
                <w:lang w:eastAsia="ru-RU"/>
              </w:rPr>
            </w:pPr>
            <w:r w:rsidRPr="00DC0382">
              <w:rPr>
                <w:rFonts w:eastAsia="Times New Roman"/>
                <w:sz w:val="20"/>
                <w:szCs w:val="20"/>
                <w:lang w:eastAsia="ru-RU"/>
              </w:rPr>
              <w:t>104</w:t>
            </w:r>
            <w:r w:rsidR="00CD554A">
              <w:rPr>
                <w:rFonts w:eastAsia="Times New Roman"/>
                <w:sz w:val="20"/>
                <w:szCs w:val="20"/>
                <w:lang w:val="en-US" w:eastAsia="ru-RU"/>
              </w:rPr>
              <w:t>,</w:t>
            </w:r>
            <w:r w:rsidRPr="00DC0382">
              <w:rPr>
                <w:rFonts w:eastAsia="Times New Roman"/>
                <w:sz w:val="20"/>
                <w:szCs w:val="20"/>
                <w:lang w:eastAsia="ru-RU"/>
              </w:rPr>
              <w:t>9±6</w:t>
            </w:r>
            <w:r w:rsidR="00CD554A">
              <w:rPr>
                <w:rFonts w:eastAsia="Times New Roman"/>
                <w:sz w:val="20"/>
                <w:szCs w:val="20"/>
                <w:lang w:val="en-US" w:eastAsia="ru-RU"/>
              </w:rPr>
              <w:t>,</w:t>
            </w:r>
            <w:r w:rsidRPr="00DC0382">
              <w:rPr>
                <w:rFonts w:eastAsia="Times New Roman"/>
                <w:sz w:val="20"/>
                <w:szCs w:val="20"/>
                <w:lang w:eastAsia="ru-RU"/>
              </w:rPr>
              <w:t>7</w:t>
            </w:r>
          </w:p>
        </w:tc>
      </w:tr>
    </w:tbl>
    <w:p w:rsidR="00A34F57" w:rsidRPr="00DC0382" w:rsidRDefault="00B86748" w:rsidP="00A34F57">
      <w:pPr>
        <w:spacing w:after="0" w:line="360" w:lineRule="auto"/>
        <w:jc w:val="both"/>
        <w:rPr>
          <w:rFonts w:eastAsiaTheme="minorEastAsia"/>
          <w:sz w:val="20"/>
          <w:szCs w:val="20"/>
          <w:lang w:val="en-US" w:eastAsia="zh-CN"/>
        </w:rPr>
      </w:pPr>
      <w:r w:rsidRPr="00DC0382">
        <w:rPr>
          <w:rFonts w:eastAsiaTheme="minorEastAsia"/>
          <w:sz w:val="20"/>
          <w:szCs w:val="20"/>
          <w:lang w:val="en-US" w:eastAsia="zh-CN"/>
        </w:rPr>
        <w:t>Note</w:t>
      </w:r>
      <w:r w:rsidR="00A34F57" w:rsidRPr="00DC0382">
        <w:rPr>
          <w:rFonts w:eastAsiaTheme="minorEastAsia"/>
          <w:sz w:val="20"/>
          <w:szCs w:val="20"/>
          <w:lang w:val="en-US" w:eastAsia="zh-CN"/>
        </w:rPr>
        <w:t xml:space="preserve">: </w:t>
      </w:r>
      <w:r w:rsidR="00A34F57" w:rsidRPr="00DC0382">
        <w:rPr>
          <w:rFonts w:eastAsiaTheme="minorEastAsia"/>
          <w:sz w:val="20"/>
          <w:szCs w:val="20"/>
          <w:vertAlign w:val="superscript"/>
          <w:lang w:val="en-US" w:eastAsia="zh-CN"/>
        </w:rPr>
        <w:t>1</w:t>
      </w:r>
      <w:r w:rsidR="00A34F57" w:rsidRPr="00DC0382">
        <w:rPr>
          <w:rFonts w:eastAsiaTheme="minorEastAsia"/>
          <w:sz w:val="20"/>
          <w:szCs w:val="20"/>
          <w:lang w:val="en-US" w:eastAsia="zh-CN"/>
        </w:rPr>
        <w:t xml:space="preserve"> ― </w:t>
      </w:r>
      <w:r w:rsidRPr="00DC0382">
        <w:rPr>
          <w:rFonts w:eastAsiaTheme="minorEastAsia"/>
          <w:sz w:val="20"/>
          <w:szCs w:val="20"/>
          <w:lang w:val="en-US" w:eastAsia="zh-CN"/>
        </w:rPr>
        <w:t>difference from the group of healthy children is statistically significant (</w:t>
      </w:r>
      <w:proofErr w:type="spellStart"/>
      <w:r w:rsidRPr="00DC0382">
        <w:rPr>
          <w:rFonts w:eastAsiaTheme="minorEastAsia"/>
          <w:sz w:val="20"/>
          <w:szCs w:val="20"/>
          <w:lang w:eastAsia="zh-CN"/>
        </w:rPr>
        <w:t>р</w:t>
      </w:r>
      <w:proofErr w:type="spellEnd"/>
      <w:r w:rsidR="004B483B">
        <w:rPr>
          <w:rFonts w:eastAsiaTheme="minorEastAsia"/>
          <w:sz w:val="20"/>
          <w:szCs w:val="20"/>
          <w:lang w:val="en-US" w:eastAsia="zh-CN"/>
        </w:rPr>
        <w:t>&lt;0</w:t>
      </w:r>
      <w:proofErr w:type="gramStart"/>
      <w:r w:rsidR="004B483B" w:rsidRPr="004B483B">
        <w:rPr>
          <w:rFonts w:eastAsiaTheme="minorEastAsia"/>
          <w:sz w:val="20"/>
          <w:szCs w:val="20"/>
          <w:lang w:val="en-US" w:eastAsia="zh-CN"/>
        </w:rPr>
        <w:t>,</w:t>
      </w:r>
      <w:r w:rsidRPr="00DC0382">
        <w:rPr>
          <w:rFonts w:eastAsiaTheme="minorEastAsia"/>
          <w:sz w:val="20"/>
          <w:szCs w:val="20"/>
          <w:lang w:val="en-US" w:eastAsia="zh-CN"/>
        </w:rPr>
        <w:t>05</w:t>
      </w:r>
      <w:proofErr w:type="gramEnd"/>
      <w:r w:rsidRPr="00DC0382">
        <w:rPr>
          <w:rFonts w:eastAsiaTheme="minorEastAsia"/>
          <w:sz w:val="20"/>
          <w:szCs w:val="20"/>
          <w:lang w:val="en-US" w:eastAsia="zh-CN"/>
        </w:rPr>
        <w:t xml:space="preserve">); </w:t>
      </w:r>
      <w:r w:rsidR="00A34F57" w:rsidRPr="00DC0382">
        <w:rPr>
          <w:rFonts w:eastAsiaTheme="minorEastAsia"/>
          <w:sz w:val="20"/>
          <w:szCs w:val="20"/>
          <w:vertAlign w:val="superscript"/>
          <w:lang w:val="en-US" w:eastAsia="zh-CN"/>
        </w:rPr>
        <w:t>2</w:t>
      </w:r>
      <w:r w:rsidR="00A34F57" w:rsidRPr="00DC0382">
        <w:rPr>
          <w:rFonts w:eastAsiaTheme="minorEastAsia"/>
          <w:sz w:val="20"/>
          <w:szCs w:val="20"/>
          <w:lang w:val="en-US" w:eastAsia="zh-CN"/>
        </w:rPr>
        <w:t xml:space="preserve"> ― </w:t>
      </w:r>
      <w:r w:rsidRPr="00DC0382">
        <w:rPr>
          <w:rFonts w:eastAsiaTheme="minorEastAsia"/>
          <w:sz w:val="20"/>
          <w:szCs w:val="20"/>
          <w:lang w:val="en-US" w:eastAsia="zh-CN"/>
        </w:rPr>
        <w:t xml:space="preserve">difference from the group of children with EB is statistically significant </w:t>
      </w:r>
      <w:r w:rsidR="00A34F57" w:rsidRPr="00DC0382">
        <w:rPr>
          <w:rFonts w:eastAsiaTheme="minorEastAsia"/>
          <w:sz w:val="20"/>
          <w:szCs w:val="20"/>
          <w:lang w:val="en-US" w:eastAsia="zh-CN"/>
        </w:rPr>
        <w:t>(</w:t>
      </w:r>
      <w:proofErr w:type="spellStart"/>
      <w:r w:rsidR="00A34F57" w:rsidRPr="00DC0382">
        <w:rPr>
          <w:rFonts w:eastAsiaTheme="minorEastAsia"/>
          <w:sz w:val="20"/>
          <w:szCs w:val="20"/>
          <w:lang w:eastAsia="zh-CN"/>
        </w:rPr>
        <w:t>р</w:t>
      </w:r>
      <w:proofErr w:type="spellEnd"/>
      <w:r w:rsidR="00A34F57" w:rsidRPr="00DC0382">
        <w:rPr>
          <w:rFonts w:eastAsiaTheme="minorEastAsia"/>
          <w:sz w:val="20"/>
          <w:szCs w:val="20"/>
          <w:lang w:val="en-US" w:eastAsia="zh-CN"/>
        </w:rPr>
        <w:t>&lt;0</w:t>
      </w:r>
      <w:r w:rsidR="004B483B">
        <w:rPr>
          <w:rFonts w:eastAsiaTheme="minorEastAsia"/>
          <w:sz w:val="20"/>
          <w:szCs w:val="20"/>
          <w:lang w:val="en-US" w:eastAsia="zh-CN"/>
        </w:rPr>
        <w:t>,</w:t>
      </w:r>
      <w:r w:rsidR="00A34F57" w:rsidRPr="00DC0382">
        <w:rPr>
          <w:rFonts w:eastAsiaTheme="minorEastAsia"/>
          <w:sz w:val="20"/>
          <w:szCs w:val="20"/>
          <w:lang w:val="en-US" w:eastAsia="zh-CN"/>
        </w:rPr>
        <w:t>05).</w:t>
      </w:r>
    </w:p>
    <w:p w:rsidR="00A34F57" w:rsidRPr="00DC0382" w:rsidRDefault="00A34F57" w:rsidP="00BC7970">
      <w:pPr>
        <w:spacing w:after="0" w:line="360" w:lineRule="auto"/>
        <w:ind w:firstLine="709"/>
        <w:jc w:val="both"/>
        <w:rPr>
          <w:rFonts w:eastAsiaTheme="minorEastAsia"/>
          <w:sz w:val="28"/>
          <w:szCs w:val="28"/>
          <w:lang w:val="en-US" w:eastAsia="zh-CN"/>
        </w:rPr>
      </w:pPr>
    </w:p>
    <w:p w:rsidR="003B6CFB" w:rsidRPr="00DC0382" w:rsidRDefault="003B6CFB" w:rsidP="00BC7970">
      <w:pPr>
        <w:spacing w:after="0" w:line="360" w:lineRule="auto"/>
        <w:ind w:firstLine="709"/>
        <w:jc w:val="both"/>
        <w:rPr>
          <w:rFonts w:eastAsiaTheme="minorEastAsia"/>
          <w:sz w:val="28"/>
          <w:szCs w:val="28"/>
          <w:lang w:val="en-US" w:eastAsia="zh-CN"/>
        </w:rPr>
      </w:pPr>
      <w:r w:rsidRPr="00DC0382">
        <w:rPr>
          <w:rFonts w:eastAsiaTheme="minorEastAsia"/>
          <w:sz w:val="28"/>
          <w:szCs w:val="28"/>
          <w:lang w:val="en-US" w:eastAsia="zh-CN"/>
        </w:rPr>
        <w:t>Increased LBP concentration is detected in the blood serum of children examined on the background of the progressing inflammatory process in the duodenal mucosa. Thus, LBP level in most of the children in the control group didn’t exceed the permissible con</w:t>
      </w:r>
      <w:r w:rsidR="004B483B">
        <w:rPr>
          <w:rFonts w:eastAsiaTheme="minorEastAsia"/>
          <w:sz w:val="28"/>
          <w:szCs w:val="28"/>
          <w:lang w:val="en-US" w:eastAsia="zh-CN"/>
        </w:rPr>
        <w:t>centration –</w:t>
      </w:r>
      <w:r w:rsidRPr="00DC0382">
        <w:rPr>
          <w:rFonts w:eastAsiaTheme="minorEastAsia"/>
          <w:sz w:val="28"/>
          <w:szCs w:val="28"/>
          <w:lang w:val="en-US" w:eastAsia="zh-CN"/>
        </w:rPr>
        <w:t xml:space="preserve"> 10 </w:t>
      </w:r>
      <w:proofErr w:type="spellStart"/>
      <w:r w:rsidRPr="00DC0382">
        <w:rPr>
          <w:rFonts w:eastAsiaTheme="minorEastAsia"/>
          <w:sz w:val="28"/>
          <w:szCs w:val="28"/>
          <w:lang w:val="en-US" w:eastAsia="zh-CN"/>
        </w:rPr>
        <w:t>ng</w:t>
      </w:r>
      <w:proofErr w:type="spellEnd"/>
      <w:r w:rsidRPr="00DC0382">
        <w:rPr>
          <w:rFonts w:eastAsiaTheme="minorEastAsia"/>
          <w:sz w:val="28"/>
          <w:szCs w:val="28"/>
          <w:lang w:val="en-US" w:eastAsia="zh-CN"/>
        </w:rPr>
        <w:t>/ml. LBP mean value in the blood serum of patien</w:t>
      </w:r>
      <w:r w:rsidR="004B483B">
        <w:rPr>
          <w:rFonts w:eastAsiaTheme="minorEastAsia"/>
          <w:sz w:val="28"/>
          <w:szCs w:val="28"/>
          <w:lang w:val="en-US" w:eastAsia="zh-CN"/>
        </w:rPr>
        <w:t>ts in this group was equal to 6,7±0,</w:t>
      </w:r>
      <w:r w:rsidRPr="00DC0382">
        <w:rPr>
          <w:rFonts w:eastAsiaTheme="minorEastAsia"/>
          <w:sz w:val="28"/>
          <w:szCs w:val="28"/>
          <w:lang w:val="en-US" w:eastAsia="zh-CN"/>
        </w:rPr>
        <w:t xml:space="preserve">7 </w:t>
      </w:r>
      <w:proofErr w:type="spellStart"/>
      <w:r w:rsidRPr="00DC0382">
        <w:rPr>
          <w:rFonts w:eastAsiaTheme="minorEastAsia"/>
          <w:sz w:val="28"/>
          <w:szCs w:val="28"/>
          <w:lang w:val="en-US" w:eastAsia="zh-CN"/>
        </w:rPr>
        <w:t>ng</w:t>
      </w:r>
      <w:proofErr w:type="spellEnd"/>
      <w:r w:rsidRPr="00DC0382">
        <w:rPr>
          <w:rFonts w:eastAsiaTheme="minorEastAsia"/>
          <w:sz w:val="28"/>
          <w:szCs w:val="28"/>
          <w:lang w:val="en-US" w:eastAsia="zh-CN"/>
        </w:rPr>
        <w:t>/m</w:t>
      </w:r>
      <w:r w:rsidR="004B483B">
        <w:rPr>
          <w:rFonts w:eastAsiaTheme="minorEastAsia"/>
          <w:sz w:val="28"/>
          <w:szCs w:val="28"/>
          <w:lang w:val="en-US" w:eastAsia="zh-CN"/>
        </w:rPr>
        <w:t>l, which was significantly (p&lt;0,</w:t>
      </w:r>
      <w:r w:rsidRPr="00DC0382">
        <w:rPr>
          <w:rFonts w:eastAsiaTheme="minorEastAsia"/>
          <w:sz w:val="28"/>
          <w:szCs w:val="28"/>
          <w:lang w:val="en-US" w:eastAsia="zh-CN"/>
        </w:rPr>
        <w:t xml:space="preserve">001) </w:t>
      </w:r>
      <w:r w:rsidR="00F57076" w:rsidRPr="00DC0382">
        <w:rPr>
          <w:rFonts w:eastAsiaTheme="minorEastAsia"/>
          <w:sz w:val="28"/>
          <w:szCs w:val="28"/>
          <w:lang w:val="en-US" w:eastAsia="zh-CN"/>
        </w:rPr>
        <w:t>lower</w:t>
      </w:r>
      <w:r w:rsidRPr="00DC0382">
        <w:rPr>
          <w:rFonts w:eastAsiaTheme="minorEastAsia"/>
          <w:sz w:val="28"/>
          <w:szCs w:val="28"/>
          <w:lang w:val="en-US" w:eastAsia="zh-CN"/>
        </w:rPr>
        <w:t xml:space="preserve"> </w:t>
      </w:r>
      <w:r w:rsidR="00F57076" w:rsidRPr="00DC0382">
        <w:rPr>
          <w:rFonts w:eastAsiaTheme="minorEastAsia"/>
          <w:sz w:val="28"/>
          <w:szCs w:val="28"/>
          <w:lang w:val="en-US" w:eastAsia="zh-CN"/>
        </w:rPr>
        <w:t xml:space="preserve">in comparison with </w:t>
      </w:r>
      <w:r w:rsidRPr="00DC0382">
        <w:rPr>
          <w:rFonts w:eastAsiaTheme="minorEastAsia"/>
          <w:sz w:val="28"/>
          <w:szCs w:val="28"/>
          <w:lang w:val="en-US" w:eastAsia="zh-CN"/>
        </w:rPr>
        <w:t xml:space="preserve">children with erosive and ulcerative changes in the duodenal mucosa. </w:t>
      </w:r>
      <w:r w:rsidR="00F57076" w:rsidRPr="00DC0382">
        <w:rPr>
          <w:rFonts w:eastAsiaTheme="minorEastAsia"/>
          <w:sz w:val="28"/>
          <w:szCs w:val="28"/>
          <w:lang w:val="en-US" w:eastAsia="zh-CN"/>
        </w:rPr>
        <w:t>LBP level in children with duodenal UD was significantly (p&lt;</w:t>
      </w:r>
      <w:r w:rsidR="004B483B">
        <w:rPr>
          <w:rFonts w:eastAsiaTheme="minorEastAsia"/>
          <w:sz w:val="28"/>
          <w:szCs w:val="28"/>
          <w:lang w:val="en-US" w:eastAsia="zh-CN"/>
        </w:rPr>
        <w:t>0</w:t>
      </w:r>
      <w:proofErr w:type="gramStart"/>
      <w:r w:rsidR="004B483B">
        <w:rPr>
          <w:rFonts w:eastAsiaTheme="minorEastAsia"/>
          <w:sz w:val="28"/>
          <w:szCs w:val="28"/>
          <w:lang w:val="en-US" w:eastAsia="zh-CN"/>
        </w:rPr>
        <w:t>,01</w:t>
      </w:r>
      <w:proofErr w:type="gramEnd"/>
      <w:r w:rsidR="004B483B">
        <w:rPr>
          <w:rFonts w:eastAsiaTheme="minorEastAsia"/>
          <w:sz w:val="28"/>
          <w:szCs w:val="28"/>
          <w:lang w:val="en-US" w:eastAsia="zh-CN"/>
        </w:rPr>
        <w:t>) higher (30,</w:t>
      </w:r>
      <w:r w:rsidR="00F57076" w:rsidRPr="00DC0382">
        <w:rPr>
          <w:rFonts w:eastAsiaTheme="minorEastAsia"/>
          <w:sz w:val="28"/>
          <w:szCs w:val="28"/>
          <w:lang w:val="en-US" w:eastAsia="zh-CN"/>
        </w:rPr>
        <w:t>6±</w:t>
      </w:r>
      <w:r w:rsidR="004B483B">
        <w:rPr>
          <w:rFonts w:eastAsiaTheme="minorEastAsia"/>
          <w:sz w:val="28"/>
          <w:szCs w:val="28"/>
          <w:lang w:val="en-US" w:eastAsia="zh-CN"/>
        </w:rPr>
        <w:t>2,</w:t>
      </w:r>
      <w:r w:rsidR="00F57076" w:rsidRPr="00DC0382">
        <w:rPr>
          <w:rFonts w:eastAsiaTheme="minorEastAsia"/>
          <w:sz w:val="28"/>
          <w:szCs w:val="28"/>
          <w:lang w:val="en-US" w:eastAsia="zh-CN"/>
        </w:rPr>
        <w:t xml:space="preserve">4 </w:t>
      </w:r>
      <w:proofErr w:type="spellStart"/>
      <w:r w:rsidR="00F57076" w:rsidRPr="00DC0382">
        <w:rPr>
          <w:rFonts w:eastAsiaTheme="minorEastAsia"/>
          <w:sz w:val="28"/>
          <w:szCs w:val="28"/>
          <w:lang w:val="en-US" w:eastAsia="zh-CN"/>
        </w:rPr>
        <w:t>ng</w:t>
      </w:r>
      <w:proofErr w:type="spellEnd"/>
      <w:r w:rsidR="00F57076" w:rsidRPr="00DC0382">
        <w:rPr>
          <w:rFonts w:eastAsiaTheme="minorEastAsia"/>
          <w:sz w:val="28"/>
          <w:szCs w:val="28"/>
          <w:lang w:val="en-US" w:eastAsia="zh-CN"/>
        </w:rPr>
        <w:t>/ml</w:t>
      </w:r>
      <w:r w:rsidRPr="00DC0382">
        <w:rPr>
          <w:rFonts w:eastAsiaTheme="minorEastAsia"/>
          <w:sz w:val="28"/>
          <w:szCs w:val="28"/>
          <w:lang w:val="en-US" w:eastAsia="zh-CN"/>
        </w:rPr>
        <w:t xml:space="preserve">) </w:t>
      </w:r>
      <w:r w:rsidR="00F57076" w:rsidRPr="00DC0382">
        <w:rPr>
          <w:rFonts w:eastAsiaTheme="minorEastAsia"/>
          <w:sz w:val="28"/>
          <w:szCs w:val="28"/>
          <w:lang w:val="en-US" w:eastAsia="zh-CN"/>
        </w:rPr>
        <w:t xml:space="preserve">as compared to </w:t>
      </w:r>
      <w:r w:rsidR="004B483B">
        <w:rPr>
          <w:rFonts w:eastAsiaTheme="minorEastAsia"/>
          <w:sz w:val="28"/>
          <w:szCs w:val="28"/>
          <w:lang w:val="en-US" w:eastAsia="zh-CN"/>
        </w:rPr>
        <w:t>patients with EB (22,</w:t>
      </w:r>
      <w:r w:rsidR="00F57076" w:rsidRPr="00DC0382">
        <w:rPr>
          <w:rFonts w:eastAsiaTheme="minorEastAsia"/>
          <w:sz w:val="28"/>
          <w:szCs w:val="28"/>
          <w:lang w:val="en-US" w:eastAsia="zh-CN"/>
        </w:rPr>
        <w:t>0±</w:t>
      </w:r>
      <w:r w:rsidR="004B483B">
        <w:rPr>
          <w:rFonts w:eastAsiaTheme="minorEastAsia"/>
          <w:sz w:val="28"/>
          <w:szCs w:val="28"/>
          <w:lang w:val="en-US" w:eastAsia="zh-CN"/>
        </w:rPr>
        <w:t>1,</w:t>
      </w:r>
      <w:r w:rsidR="00F57076" w:rsidRPr="00DC0382">
        <w:rPr>
          <w:rFonts w:eastAsiaTheme="minorEastAsia"/>
          <w:sz w:val="28"/>
          <w:szCs w:val="28"/>
          <w:lang w:val="en-US" w:eastAsia="zh-CN"/>
        </w:rPr>
        <w:t xml:space="preserve">1 </w:t>
      </w:r>
      <w:proofErr w:type="spellStart"/>
      <w:r w:rsidR="00F57076" w:rsidRPr="00DC0382">
        <w:rPr>
          <w:rFonts w:eastAsiaTheme="minorEastAsia"/>
          <w:sz w:val="28"/>
          <w:szCs w:val="28"/>
          <w:lang w:val="en-US" w:eastAsia="zh-CN"/>
        </w:rPr>
        <w:t>ng</w:t>
      </w:r>
      <w:proofErr w:type="spellEnd"/>
      <w:r w:rsidR="00F57076" w:rsidRPr="00DC0382">
        <w:rPr>
          <w:rFonts w:eastAsiaTheme="minorEastAsia"/>
          <w:sz w:val="28"/>
          <w:szCs w:val="28"/>
          <w:lang w:val="en-US" w:eastAsia="zh-CN"/>
        </w:rPr>
        <w:t>/</w:t>
      </w:r>
      <w:r w:rsidRPr="00DC0382">
        <w:rPr>
          <w:rFonts w:eastAsiaTheme="minorEastAsia"/>
          <w:sz w:val="28"/>
          <w:szCs w:val="28"/>
          <w:lang w:val="en-US" w:eastAsia="zh-CN"/>
        </w:rPr>
        <w:t xml:space="preserve">ml). Analyzing the effect of </w:t>
      </w:r>
      <w:r w:rsidR="00F57076" w:rsidRPr="00DC0382">
        <w:rPr>
          <w:rFonts w:eastAsiaTheme="minorEastAsia"/>
          <w:sz w:val="28"/>
          <w:szCs w:val="28"/>
          <w:lang w:val="en-US" w:eastAsia="zh-CN"/>
        </w:rPr>
        <w:t xml:space="preserve">Hp </w:t>
      </w:r>
      <w:r w:rsidRPr="00DC0382">
        <w:rPr>
          <w:rFonts w:eastAsiaTheme="minorEastAsia"/>
          <w:sz w:val="28"/>
          <w:szCs w:val="28"/>
          <w:lang w:val="en-US" w:eastAsia="zh-CN"/>
        </w:rPr>
        <w:t>genotype virulence</w:t>
      </w:r>
      <w:r w:rsidR="00F57076" w:rsidRPr="00DC0382">
        <w:rPr>
          <w:rFonts w:eastAsiaTheme="minorEastAsia"/>
          <w:sz w:val="28"/>
          <w:szCs w:val="28"/>
          <w:lang w:val="en-US" w:eastAsia="zh-CN"/>
        </w:rPr>
        <w:t xml:space="preserve"> on LBP</w:t>
      </w:r>
      <w:r w:rsidRPr="00DC0382">
        <w:rPr>
          <w:rFonts w:eastAsiaTheme="minorEastAsia"/>
          <w:sz w:val="28"/>
          <w:szCs w:val="28"/>
          <w:lang w:val="en-US" w:eastAsia="zh-CN"/>
        </w:rPr>
        <w:t xml:space="preserve"> concentration</w:t>
      </w:r>
      <w:r w:rsidR="00F57076" w:rsidRPr="00DC0382">
        <w:rPr>
          <w:rFonts w:eastAsiaTheme="minorEastAsia"/>
          <w:sz w:val="28"/>
          <w:szCs w:val="28"/>
          <w:lang w:val="en-US" w:eastAsia="zh-CN"/>
        </w:rPr>
        <w:t>, it is established</w:t>
      </w:r>
      <w:r w:rsidRPr="00DC0382">
        <w:rPr>
          <w:rFonts w:eastAsiaTheme="minorEastAsia"/>
          <w:sz w:val="28"/>
          <w:szCs w:val="28"/>
          <w:lang w:val="en-US" w:eastAsia="zh-CN"/>
        </w:rPr>
        <w:t xml:space="preserve"> that</w:t>
      </w:r>
      <w:r w:rsidR="00DE6357" w:rsidRPr="00DC0382">
        <w:rPr>
          <w:rFonts w:eastAsiaTheme="minorEastAsia"/>
          <w:sz w:val="28"/>
          <w:szCs w:val="28"/>
          <w:lang w:val="en-US" w:eastAsia="zh-CN"/>
        </w:rPr>
        <w:t>,</w:t>
      </w:r>
      <w:r w:rsidRPr="00DC0382">
        <w:rPr>
          <w:rFonts w:eastAsiaTheme="minorEastAsia"/>
          <w:sz w:val="28"/>
          <w:szCs w:val="28"/>
          <w:lang w:val="en-US" w:eastAsia="zh-CN"/>
        </w:rPr>
        <w:t xml:space="preserve"> </w:t>
      </w:r>
      <w:r w:rsidR="00DE6357" w:rsidRPr="00DC0382">
        <w:rPr>
          <w:rFonts w:eastAsiaTheme="minorEastAsia"/>
          <w:sz w:val="28"/>
          <w:szCs w:val="28"/>
          <w:lang w:val="en-US" w:eastAsia="zh-CN"/>
        </w:rPr>
        <w:t xml:space="preserve">in </w:t>
      </w:r>
      <w:r w:rsidRPr="00DC0382">
        <w:rPr>
          <w:rFonts w:eastAsiaTheme="minorEastAsia"/>
          <w:sz w:val="28"/>
          <w:szCs w:val="28"/>
          <w:lang w:val="en-US" w:eastAsia="zh-CN"/>
        </w:rPr>
        <w:t xml:space="preserve">presence of virulent </w:t>
      </w:r>
      <w:r w:rsidR="00F57076" w:rsidRPr="00DC0382">
        <w:rPr>
          <w:rFonts w:eastAsiaTheme="minorEastAsia"/>
          <w:sz w:val="28"/>
          <w:szCs w:val="28"/>
          <w:lang w:val="en-US" w:eastAsia="zh-CN"/>
        </w:rPr>
        <w:t xml:space="preserve">Hp </w:t>
      </w:r>
      <w:r w:rsidRPr="00DC0382">
        <w:rPr>
          <w:rFonts w:eastAsiaTheme="minorEastAsia"/>
          <w:sz w:val="28"/>
          <w:szCs w:val="28"/>
          <w:lang w:val="en-US" w:eastAsia="zh-CN"/>
        </w:rPr>
        <w:t xml:space="preserve">strains </w:t>
      </w:r>
      <w:r w:rsidR="00F57076" w:rsidRPr="00DC0382">
        <w:rPr>
          <w:rFonts w:eastAsiaTheme="minorEastAsia"/>
          <w:sz w:val="28"/>
          <w:szCs w:val="28"/>
          <w:lang w:val="en-US" w:eastAsia="zh-CN"/>
        </w:rPr>
        <w:t>in</w:t>
      </w:r>
      <w:r w:rsidRPr="00DC0382">
        <w:rPr>
          <w:rFonts w:eastAsiaTheme="minorEastAsia"/>
          <w:sz w:val="28"/>
          <w:szCs w:val="28"/>
          <w:lang w:val="en-US" w:eastAsia="zh-CN"/>
        </w:rPr>
        <w:t xml:space="preserve"> the child</w:t>
      </w:r>
      <w:r w:rsidR="00DE6357" w:rsidRPr="00DC0382">
        <w:rPr>
          <w:rFonts w:eastAsiaTheme="minorEastAsia"/>
          <w:sz w:val="28"/>
          <w:szCs w:val="28"/>
          <w:lang w:val="en-US" w:eastAsia="zh-CN"/>
        </w:rPr>
        <w:t>,</w:t>
      </w:r>
      <w:r w:rsidRPr="00DC0382">
        <w:rPr>
          <w:rFonts w:eastAsiaTheme="minorEastAsia"/>
          <w:sz w:val="28"/>
          <w:szCs w:val="28"/>
          <w:lang w:val="en-US" w:eastAsia="zh-CN"/>
        </w:rPr>
        <w:t xml:space="preserve"> LBP concentration in the </w:t>
      </w:r>
      <w:r w:rsidR="00DE6357" w:rsidRPr="00DC0382">
        <w:rPr>
          <w:rFonts w:eastAsiaTheme="minorEastAsia"/>
          <w:sz w:val="28"/>
          <w:szCs w:val="28"/>
          <w:lang w:val="en-US" w:eastAsia="zh-CN"/>
        </w:rPr>
        <w:t xml:space="preserve">blood </w:t>
      </w:r>
      <w:r w:rsidRPr="00DC0382">
        <w:rPr>
          <w:rFonts w:eastAsiaTheme="minorEastAsia"/>
          <w:sz w:val="28"/>
          <w:szCs w:val="28"/>
          <w:lang w:val="en-US" w:eastAsia="zh-CN"/>
        </w:rPr>
        <w:t xml:space="preserve">serum </w:t>
      </w:r>
      <w:r w:rsidR="00B3231B">
        <w:rPr>
          <w:rFonts w:eastAsiaTheme="minorEastAsia"/>
          <w:sz w:val="28"/>
          <w:szCs w:val="28"/>
          <w:lang w:val="en-US" w:eastAsia="zh-CN"/>
        </w:rPr>
        <w:t>was</w:t>
      </w:r>
      <w:r w:rsidR="00DE6357" w:rsidRPr="00DC0382">
        <w:rPr>
          <w:rFonts w:eastAsiaTheme="minorEastAsia"/>
          <w:sz w:val="28"/>
          <w:szCs w:val="28"/>
          <w:lang w:val="en-US" w:eastAsia="zh-CN"/>
        </w:rPr>
        <w:t xml:space="preserve"> significantly (p&lt;</w:t>
      </w:r>
      <w:r w:rsidR="004B483B">
        <w:rPr>
          <w:rFonts w:eastAsiaTheme="minorEastAsia"/>
          <w:sz w:val="28"/>
          <w:szCs w:val="28"/>
          <w:lang w:val="en-US" w:eastAsia="zh-CN"/>
        </w:rPr>
        <w:t>0,</w:t>
      </w:r>
      <w:r w:rsidRPr="00DC0382">
        <w:rPr>
          <w:rFonts w:eastAsiaTheme="minorEastAsia"/>
          <w:sz w:val="28"/>
          <w:szCs w:val="28"/>
          <w:lang w:val="en-US" w:eastAsia="zh-CN"/>
        </w:rPr>
        <w:t xml:space="preserve">001) higher than </w:t>
      </w:r>
      <w:r w:rsidR="00DE6357" w:rsidRPr="00DC0382">
        <w:rPr>
          <w:rFonts w:eastAsiaTheme="minorEastAsia"/>
          <w:sz w:val="28"/>
          <w:szCs w:val="28"/>
          <w:lang w:val="en-US" w:eastAsia="zh-CN"/>
        </w:rPr>
        <w:t>(</w:t>
      </w:r>
      <w:r w:rsidR="004B483B">
        <w:rPr>
          <w:rFonts w:eastAsiaTheme="minorEastAsia"/>
          <w:sz w:val="28"/>
          <w:szCs w:val="28"/>
          <w:lang w:val="en-US" w:eastAsia="zh-CN"/>
        </w:rPr>
        <w:t>29,</w:t>
      </w:r>
      <w:r w:rsidR="00DE6357" w:rsidRPr="00DC0382">
        <w:rPr>
          <w:rFonts w:eastAsiaTheme="minorEastAsia"/>
          <w:sz w:val="28"/>
          <w:szCs w:val="28"/>
          <w:lang w:val="en-US" w:eastAsia="zh-CN"/>
        </w:rPr>
        <w:t>8±</w:t>
      </w:r>
      <w:r w:rsidR="004B483B">
        <w:rPr>
          <w:rFonts w:eastAsiaTheme="minorEastAsia"/>
          <w:sz w:val="28"/>
          <w:szCs w:val="28"/>
          <w:lang w:val="en-US" w:eastAsia="zh-CN"/>
        </w:rPr>
        <w:t>1,</w:t>
      </w:r>
      <w:r w:rsidR="00DE6357" w:rsidRPr="00DC0382">
        <w:rPr>
          <w:rFonts w:eastAsiaTheme="minorEastAsia"/>
          <w:sz w:val="28"/>
          <w:szCs w:val="28"/>
          <w:lang w:val="en-US" w:eastAsia="zh-CN"/>
        </w:rPr>
        <w:t xml:space="preserve">7 </w:t>
      </w:r>
      <w:proofErr w:type="spellStart"/>
      <w:r w:rsidR="00DE6357" w:rsidRPr="00DC0382">
        <w:rPr>
          <w:rFonts w:eastAsiaTheme="minorEastAsia"/>
          <w:sz w:val="28"/>
          <w:szCs w:val="28"/>
          <w:lang w:val="en-US" w:eastAsia="zh-CN"/>
        </w:rPr>
        <w:t>ng</w:t>
      </w:r>
      <w:proofErr w:type="spellEnd"/>
      <w:r w:rsidR="00DE6357" w:rsidRPr="00DC0382">
        <w:rPr>
          <w:rFonts w:eastAsiaTheme="minorEastAsia"/>
          <w:sz w:val="28"/>
          <w:szCs w:val="28"/>
          <w:lang w:val="en-US" w:eastAsia="zh-CN"/>
        </w:rPr>
        <w:t>/</w:t>
      </w:r>
      <w:r w:rsidRPr="00DC0382">
        <w:rPr>
          <w:rFonts w:eastAsiaTheme="minorEastAsia"/>
          <w:sz w:val="28"/>
          <w:szCs w:val="28"/>
          <w:lang w:val="en-US" w:eastAsia="zh-CN"/>
        </w:rPr>
        <w:t>ml</w:t>
      </w:r>
      <w:r w:rsidR="00DE6357" w:rsidRPr="00DC0382">
        <w:rPr>
          <w:rFonts w:eastAsiaTheme="minorEastAsia"/>
          <w:sz w:val="28"/>
          <w:szCs w:val="28"/>
          <w:lang w:val="en-US" w:eastAsia="zh-CN"/>
        </w:rPr>
        <w:t>)</w:t>
      </w:r>
      <w:r w:rsidRPr="00DC0382">
        <w:rPr>
          <w:rFonts w:eastAsiaTheme="minorEastAsia"/>
          <w:sz w:val="28"/>
          <w:szCs w:val="28"/>
          <w:lang w:val="en-US" w:eastAsia="zh-CN"/>
        </w:rPr>
        <w:t xml:space="preserve"> </w:t>
      </w:r>
      <w:r w:rsidR="00DE6357" w:rsidRPr="00DC0382">
        <w:rPr>
          <w:rFonts w:eastAsiaTheme="minorEastAsia"/>
          <w:sz w:val="28"/>
          <w:szCs w:val="28"/>
          <w:lang w:val="en-US" w:eastAsia="zh-CN"/>
        </w:rPr>
        <w:t xml:space="preserve">as compared to </w:t>
      </w:r>
      <w:r w:rsidRPr="00DC0382">
        <w:rPr>
          <w:rFonts w:eastAsiaTheme="minorEastAsia"/>
          <w:sz w:val="28"/>
          <w:szCs w:val="28"/>
          <w:lang w:val="en-US" w:eastAsia="zh-CN"/>
        </w:rPr>
        <w:t xml:space="preserve">patients infected with the </w:t>
      </w:r>
      <w:proofErr w:type="spellStart"/>
      <w:r w:rsidRPr="00DC0382">
        <w:rPr>
          <w:rFonts w:eastAsiaTheme="minorEastAsia"/>
          <w:sz w:val="28"/>
          <w:szCs w:val="28"/>
          <w:lang w:val="en-US" w:eastAsia="zh-CN"/>
        </w:rPr>
        <w:t>avirulent</w:t>
      </w:r>
      <w:proofErr w:type="spellEnd"/>
      <w:r w:rsidRPr="00DC0382">
        <w:rPr>
          <w:rFonts w:eastAsiaTheme="minorEastAsia"/>
          <w:sz w:val="28"/>
          <w:szCs w:val="28"/>
          <w:lang w:val="en-US" w:eastAsia="zh-CN"/>
        </w:rPr>
        <w:t xml:space="preserve"> </w:t>
      </w:r>
      <w:r w:rsidR="00DE6357" w:rsidRPr="00DC0382">
        <w:rPr>
          <w:rFonts w:eastAsiaTheme="minorEastAsia"/>
          <w:sz w:val="28"/>
          <w:szCs w:val="28"/>
          <w:lang w:val="en-US" w:eastAsia="zh-CN"/>
        </w:rPr>
        <w:t xml:space="preserve">Hp </w:t>
      </w:r>
      <w:r w:rsidRPr="00DC0382">
        <w:rPr>
          <w:rFonts w:eastAsiaTheme="minorEastAsia"/>
          <w:sz w:val="28"/>
          <w:szCs w:val="28"/>
          <w:lang w:val="en-US" w:eastAsia="zh-CN"/>
        </w:rPr>
        <w:t xml:space="preserve">strains </w:t>
      </w:r>
      <w:r w:rsidR="00DE6357" w:rsidRPr="00DC0382">
        <w:rPr>
          <w:rFonts w:eastAsiaTheme="minorEastAsia"/>
          <w:sz w:val="28"/>
          <w:szCs w:val="28"/>
          <w:lang w:val="en-US" w:eastAsia="zh-CN"/>
        </w:rPr>
        <w:t>(</w:t>
      </w:r>
      <w:r w:rsidR="004B483B">
        <w:rPr>
          <w:rFonts w:eastAsiaTheme="minorEastAsia"/>
          <w:sz w:val="28"/>
          <w:szCs w:val="28"/>
          <w:lang w:val="en-US" w:eastAsia="zh-CN"/>
        </w:rPr>
        <w:t>20,</w:t>
      </w:r>
      <w:r w:rsidR="00DE6357" w:rsidRPr="00DC0382">
        <w:rPr>
          <w:rFonts w:eastAsiaTheme="minorEastAsia"/>
          <w:sz w:val="28"/>
          <w:szCs w:val="28"/>
          <w:lang w:val="en-US" w:eastAsia="zh-CN"/>
        </w:rPr>
        <w:t>6±</w:t>
      </w:r>
      <w:r w:rsidR="004B483B">
        <w:rPr>
          <w:rFonts w:eastAsiaTheme="minorEastAsia"/>
          <w:sz w:val="28"/>
          <w:szCs w:val="28"/>
          <w:lang w:val="en-US" w:eastAsia="zh-CN"/>
        </w:rPr>
        <w:t>1,</w:t>
      </w:r>
      <w:r w:rsidR="00DE6357" w:rsidRPr="00DC0382">
        <w:rPr>
          <w:rFonts w:eastAsiaTheme="minorEastAsia"/>
          <w:sz w:val="28"/>
          <w:szCs w:val="28"/>
          <w:lang w:val="en-US" w:eastAsia="zh-CN"/>
        </w:rPr>
        <w:t xml:space="preserve">1 </w:t>
      </w:r>
      <w:proofErr w:type="spellStart"/>
      <w:r w:rsidR="00DE6357" w:rsidRPr="00DC0382">
        <w:rPr>
          <w:rFonts w:eastAsiaTheme="minorEastAsia"/>
          <w:sz w:val="28"/>
          <w:szCs w:val="28"/>
          <w:lang w:val="en-US" w:eastAsia="zh-CN"/>
        </w:rPr>
        <w:t>ng</w:t>
      </w:r>
      <w:proofErr w:type="spellEnd"/>
      <w:r w:rsidR="00DE6357" w:rsidRPr="00DC0382">
        <w:rPr>
          <w:rFonts w:eastAsiaTheme="minorEastAsia"/>
          <w:sz w:val="28"/>
          <w:szCs w:val="28"/>
          <w:lang w:val="en-US" w:eastAsia="zh-CN"/>
        </w:rPr>
        <w:t>/</w:t>
      </w:r>
      <w:r w:rsidRPr="00DC0382">
        <w:rPr>
          <w:rFonts w:eastAsiaTheme="minorEastAsia"/>
          <w:sz w:val="28"/>
          <w:szCs w:val="28"/>
          <w:lang w:val="en-US" w:eastAsia="zh-CN"/>
        </w:rPr>
        <w:t>ml</w:t>
      </w:r>
      <w:r w:rsidR="00DE6357" w:rsidRPr="00DC0382">
        <w:rPr>
          <w:rFonts w:eastAsiaTheme="minorEastAsia"/>
          <w:sz w:val="28"/>
          <w:szCs w:val="28"/>
          <w:lang w:val="en-US" w:eastAsia="zh-CN"/>
        </w:rPr>
        <w:t>)</w:t>
      </w:r>
      <w:r w:rsidRPr="00DC0382">
        <w:rPr>
          <w:rFonts w:eastAsiaTheme="minorEastAsia"/>
          <w:sz w:val="28"/>
          <w:szCs w:val="28"/>
          <w:lang w:val="en-US" w:eastAsia="zh-CN"/>
        </w:rPr>
        <w:t>.</w:t>
      </w:r>
    </w:p>
    <w:p w:rsidR="00C66EEA" w:rsidRPr="00DC0382" w:rsidRDefault="00C66EEA" w:rsidP="00BC7970">
      <w:pPr>
        <w:spacing w:after="0" w:line="360" w:lineRule="auto"/>
        <w:ind w:firstLine="709"/>
        <w:jc w:val="both"/>
        <w:rPr>
          <w:rFonts w:eastAsiaTheme="minorEastAsia"/>
          <w:sz w:val="28"/>
          <w:szCs w:val="28"/>
          <w:lang w:val="en-US" w:eastAsia="zh-CN"/>
        </w:rPr>
      </w:pPr>
      <w:r w:rsidRPr="00DC0382">
        <w:rPr>
          <w:rFonts w:eastAsiaTheme="minorEastAsia"/>
          <w:sz w:val="28"/>
          <w:szCs w:val="28"/>
          <w:lang w:val="en-US" w:eastAsia="zh-CN"/>
        </w:rPr>
        <w:lastRenderedPageBreak/>
        <w:t xml:space="preserve">Obtained results are likely to be explained by more evident inflammatory process in the lesion focus and deep disorders of </w:t>
      </w:r>
      <w:proofErr w:type="spellStart"/>
      <w:r w:rsidRPr="00DC0382">
        <w:rPr>
          <w:rFonts w:eastAsiaTheme="minorEastAsia"/>
          <w:sz w:val="28"/>
          <w:szCs w:val="28"/>
          <w:lang w:val="en-US" w:eastAsia="zh-CN"/>
        </w:rPr>
        <w:t>microecology</w:t>
      </w:r>
      <w:proofErr w:type="spellEnd"/>
      <w:r w:rsidRPr="00DC0382">
        <w:rPr>
          <w:rFonts w:eastAsiaTheme="minorEastAsia"/>
          <w:sz w:val="28"/>
          <w:szCs w:val="28"/>
          <w:lang w:val="en-US" w:eastAsia="zh-CN"/>
        </w:rPr>
        <w:t xml:space="preserve"> not only in the </w:t>
      </w:r>
      <w:proofErr w:type="spellStart"/>
      <w:r w:rsidRPr="00DC0382">
        <w:rPr>
          <w:rFonts w:eastAsiaTheme="minorEastAsia"/>
          <w:sz w:val="28"/>
          <w:szCs w:val="28"/>
          <w:lang w:val="en-US" w:eastAsia="zh-CN"/>
        </w:rPr>
        <w:t>gastroduodenal</w:t>
      </w:r>
      <w:proofErr w:type="spellEnd"/>
      <w:r w:rsidRPr="00DC0382">
        <w:rPr>
          <w:rFonts w:eastAsiaTheme="minorEastAsia"/>
          <w:sz w:val="28"/>
          <w:szCs w:val="28"/>
          <w:lang w:val="en-US" w:eastAsia="zh-CN"/>
        </w:rPr>
        <w:t xml:space="preserve"> area, but also within the all intestine in children on the background of erosive and ulcerative changes in the duoden</w:t>
      </w:r>
      <w:r w:rsidR="00461E58" w:rsidRPr="00DC0382">
        <w:rPr>
          <w:rFonts w:eastAsiaTheme="minorEastAsia"/>
          <w:sz w:val="28"/>
          <w:szCs w:val="28"/>
          <w:lang w:val="en-US" w:eastAsia="zh-CN"/>
        </w:rPr>
        <w:t>al mucosa</w:t>
      </w:r>
      <w:r w:rsidRPr="00DC0382">
        <w:rPr>
          <w:rFonts w:eastAsiaTheme="minorEastAsia"/>
          <w:sz w:val="28"/>
          <w:szCs w:val="28"/>
          <w:lang w:val="en-US" w:eastAsia="zh-CN"/>
        </w:rPr>
        <w:t xml:space="preserve">. </w:t>
      </w:r>
      <w:r w:rsidR="00461E58" w:rsidRPr="00DC0382">
        <w:rPr>
          <w:rFonts w:eastAsiaTheme="minorEastAsia"/>
          <w:sz w:val="28"/>
          <w:szCs w:val="28"/>
          <w:lang w:val="en-US" w:eastAsia="zh-CN"/>
        </w:rPr>
        <w:t xml:space="preserve">Both </w:t>
      </w:r>
      <w:r w:rsidRPr="00DC0382">
        <w:rPr>
          <w:rFonts w:eastAsiaTheme="minorEastAsia"/>
          <w:sz w:val="28"/>
          <w:szCs w:val="28"/>
          <w:lang w:val="en-US" w:eastAsia="zh-CN"/>
        </w:rPr>
        <w:t>H</w:t>
      </w:r>
      <w:r w:rsidR="00461E58" w:rsidRPr="00DC0382">
        <w:rPr>
          <w:rFonts w:eastAsiaTheme="minorEastAsia"/>
          <w:sz w:val="28"/>
          <w:szCs w:val="28"/>
          <w:lang w:val="en-US" w:eastAsia="zh-CN"/>
        </w:rPr>
        <w:t>p</w:t>
      </w:r>
      <w:r w:rsidRPr="00DC0382">
        <w:rPr>
          <w:rFonts w:eastAsiaTheme="minorEastAsia"/>
          <w:sz w:val="28"/>
          <w:szCs w:val="28"/>
          <w:lang w:val="en-US" w:eastAsia="zh-CN"/>
        </w:rPr>
        <w:t xml:space="preserve"> itself</w:t>
      </w:r>
      <w:r w:rsidR="00461E58" w:rsidRPr="00DC0382">
        <w:rPr>
          <w:rFonts w:eastAsiaTheme="minorEastAsia"/>
          <w:sz w:val="28"/>
          <w:szCs w:val="28"/>
          <w:lang w:val="en-US" w:eastAsia="zh-CN"/>
        </w:rPr>
        <w:t xml:space="preserve">, as </w:t>
      </w:r>
      <w:r w:rsidRPr="00DC0382">
        <w:rPr>
          <w:rFonts w:eastAsiaTheme="minorEastAsia"/>
          <w:sz w:val="28"/>
          <w:szCs w:val="28"/>
          <w:lang w:val="en-US" w:eastAsia="zh-CN"/>
        </w:rPr>
        <w:t xml:space="preserve">a representative of gram-negative </w:t>
      </w:r>
      <w:proofErr w:type="spellStart"/>
      <w:r w:rsidR="00461E58" w:rsidRPr="00DC0382">
        <w:rPr>
          <w:rFonts w:eastAsiaTheme="minorEastAsia"/>
          <w:sz w:val="28"/>
          <w:szCs w:val="28"/>
          <w:lang w:val="en-US" w:eastAsia="zh-CN"/>
        </w:rPr>
        <w:t>microflora</w:t>
      </w:r>
      <w:proofErr w:type="spellEnd"/>
      <w:r w:rsidRPr="00DC0382">
        <w:rPr>
          <w:rFonts w:eastAsiaTheme="minorEastAsia"/>
          <w:sz w:val="28"/>
          <w:szCs w:val="28"/>
          <w:lang w:val="en-US" w:eastAsia="zh-CN"/>
        </w:rPr>
        <w:t xml:space="preserve">, and </w:t>
      </w:r>
      <w:r w:rsidR="00461E58" w:rsidRPr="00DC0382">
        <w:rPr>
          <w:rFonts w:eastAsiaTheme="minorEastAsia"/>
          <w:sz w:val="28"/>
          <w:szCs w:val="28"/>
          <w:lang w:val="en-US" w:eastAsia="zh-CN"/>
        </w:rPr>
        <w:t>g</w:t>
      </w:r>
      <w:r w:rsidRPr="00DC0382">
        <w:rPr>
          <w:rFonts w:eastAsiaTheme="minorEastAsia"/>
          <w:sz w:val="28"/>
          <w:szCs w:val="28"/>
          <w:lang w:val="en-US" w:eastAsia="zh-CN"/>
        </w:rPr>
        <w:t xml:space="preserve">ram-negative </w:t>
      </w:r>
      <w:r w:rsidR="00461E58" w:rsidRPr="00DC0382">
        <w:rPr>
          <w:rFonts w:eastAsiaTheme="minorEastAsia"/>
          <w:sz w:val="28"/>
          <w:szCs w:val="28"/>
          <w:lang w:val="en-US" w:eastAsia="zh-CN"/>
        </w:rPr>
        <w:t>opportunistic pathogenic</w:t>
      </w:r>
      <w:r w:rsidRPr="00DC0382">
        <w:rPr>
          <w:rFonts w:eastAsiaTheme="minorEastAsia"/>
          <w:sz w:val="28"/>
          <w:szCs w:val="28"/>
          <w:lang w:val="en-US" w:eastAsia="zh-CN"/>
        </w:rPr>
        <w:t xml:space="preserve"> </w:t>
      </w:r>
      <w:proofErr w:type="spellStart"/>
      <w:r w:rsidRPr="00DC0382">
        <w:rPr>
          <w:rFonts w:eastAsiaTheme="minorEastAsia"/>
          <w:sz w:val="28"/>
          <w:szCs w:val="28"/>
          <w:lang w:val="en-US" w:eastAsia="zh-CN"/>
        </w:rPr>
        <w:t>microflora</w:t>
      </w:r>
      <w:proofErr w:type="spellEnd"/>
      <w:r w:rsidRPr="00DC0382">
        <w:rPr>
          <w:rFonts w:eastAsiaTheme="minorEastAsia"/>
          <w:sz w:val="28"/>
          <w:szCs w:val="28"/>
          <w:lang w:val="en-US" w:eastAsia="zh-CN"/>
        </w:rPr>
        <w:t xml:space="preserve"> of the large int</w:t>
      </w:r>
      <w:r w:rsidR="00461E58" w:rsidRPr="00DC0382">
        <w:rPr>
          <w:rFonts w:eastAsiaTheme="minorEastAsia"/>
          <w:sz w:val="28"/>
          <w:szCs w:val="28"/>
          <w:lang w:val="en-US" w:eastAsia="zh-CN"/>
        </w:rPr>
        <w:t>estine</w:t>
      </w:r>
      <w:r w:rsidRPr="00DC0382">
        <w:rPr>
          <w:rFonts w:eastAsiaTheme="minorEastAsia"/>
          <w:sz w:val="28"/>
          <w:szCs w:val="28"/>
          <w:lang w:val="en-US" w:eastAsia="zh-CN"/>
        </w:rPr>
        <w:t xml:space="preserve">, as well as the bacteria in the </w:t>
      </w:r>
      <w:r w:rsidR="00461E58" w:rsidRPr="00DC0382">
        <w:rPr>
          <w:rFonts w:eastAsiaTheme="minorEastAsia"/>
          <w:sz w:val="28"/>
          <w:szCs w:val="28"/>
          <w:lang w:val="en-US" w:eastAsia="zh-CN"/>
        </w:rPr>
        <w:t xml:space="preserve">state of overgrowth in the small intestine, may be the source of </w:t>
      </w:r>
      <w:proofErr w:type="spellStart"/>
      <w:r w:rsidR="00461E58" w:rsidRPr="00DC0382">
        <w:rPr>
          <w:rFonts w:eastAsiaTheme="minorEastAsia"/>
          <w:sz w:val="28"/>
          <w:szCs w:val="28"/>
          <w:lang w:val="en-US" w:eastAsia="zh-CN"/>
        </w:rPr>
        <w:t>endotoxin</w:t>
      </w:r>
      <w:proofErr w:type="spellEnd"/>
      <w:r w:rsidR="00461E58" w:rsidRPr="00DC0382">
        <w:rPr>
          <w:rFonts w:eastAsiaTheme="minorEastAsia"/>
          <w:sz w:val="28"/>
          <w:szCs w:val="28"/>
          <w:lang w:val="en-US" w:eastAsia="zh-CN"/>
        </w:rPr>
        <w:t xml:space="preserve"> on the background of increased permeability of the epithelial barrier of gastric and duodenal mucosa</w:t>
      </w:r>
      <w:r w:rsidRPr="00DC0382">
        <w:rPr>
          <w:rFonts w:eastAsiaTheme="minorEastAsia"/>
          <w:sz w:val="28"/>
          <w:szCs w:val="28"/>
          <w:lang w:val="en-US" w:eastAsia="zh-CN"/>
        </w:rPr>
        <w:t>.</w:t>
      </w:r>
    </w:p>
    <w:p w:rsidR="005C49FD" w:rsidRPr="00DC0382" w:rsidRDefault="005C49FD" w:rsidP="00BC7970">
      <w:pPr>
        <w:spacing w:after="0" w:line="360" w:lineRule="auto"/>
        <w:ind w:firstLine="709"/>
        <w:jc w:val="both"/>
        <w:rPr>
          <w:rFonts w:eastAsiaTheme="minorEastAsia"/>
          <w:sz w:val="28"/>
          <w:szCs w:val="28"/>
          <w:lang w:val="en-US" w:eastAsia="zh-CN"/>
        </w:rPr>
      </w:pPr>
      <w:r w:rsidRPr="00DC0382">
        <w:rPr>
          <w:rFonts w:eastAsiaTheme="minorEastAsia"/>
          <w:sz w:val="28"/>
          <w:szCs w:val="28"/>
          <w:lang w:val="en-US" w:eastAsia="zh-CN"/>
        </w:rPr>
        <w:t>Conducted analysis of ​​</w:t>
      </w:r>
      <w:proofErr w:type="spellStart"/>
      <w:r w:rsidRPr="00DC0382">
        <w:rPr>
          <w:rFonts w:eastAsiaTheme="minorEastAsia"/>
          <w:sz w:val="28"/>
          <w:szCs w:val="28"/>
          <w:lang w:val="en-US" w:eastAsia="zh-CN"/>
        </w:rPr>
        <w:t>antiendotoxin</w:t>
      </w:r>
      <w:proofErr w:type="spellEnd"/>
      <w:r w:rsidRPr="00DC0382">
        <w:rPr>
          <w:rFonts w:eastAsiaTheme="minorEastAsia"/>
          <w:sz w:val="28"/>
          <w:szCs w:val="28"/>
          <w:lang w:val="en-US" w:eastAsia="zh-CN"/>
        </w:rPr>
        <w:t xml:space="preserve"> antibodies indices in children with erosive and ulcerative changes in the duodenal mucosa showed their low level on the background of evidence of the pathological process and </w:t>
      </w:r>
      <w:proofErr w:type="spellStart"/>
      <w:r w:rsidRPr="00DC0382">
        <w:rPr>
          <w:rFonts w:eastAsiaTheme="minorEastAsia"/>
          <w:sz w:val="28"/>
          <w:szCs w:val="28"/>
          <w:lang w:val="en-US" w:eastAsia="zh-CN"/>
        </w:rPr>
        <w:t>endotoxinemia</w:t>
      </w:r>
      <w:proofErr w:type="spellEnd"/>
      <w:r w:rsidRPr="00DC0382">
        <w:rPr>
          <w:rFonts w:eastAsiaTheme="minorEastAsia"/>
          <w:sz w:val="28"/>
          <w:szCs w:val="28"/>
          <w:lang w:val="en-US" w:eastAsia="zh-CN"/>
        </w:rPr>
        <w:t>. Thus, anti-LPS-</w:t>
      </w:r>
      <w:proofErr w:type="spellStart"/>
      <w:r w:rsidRPr="00DC0382">
        <w:rPr>
          <w:rFonts w:eastAsiaTheme="minorEastAsia"/>
          <w:sz w:val="28"/>
          <w:szCs w:val="28"/>
          <w:lang w:val="en-US" w:eastAsia="zh-CN"/>
        </w:rPr>
        <w:t>IgA</w:t>
      </w:r>
      <w:proofErr w:type="spellEnd"/>
      <w:r w:rsidRPr="00DC0382">
        <w:rPr>
          <w:rFonts w:eastAsiaTheme="minorEastAsia"/>
          <w:sz w:val="28"/>
          <w:szCs w:val="28"/>
          <w:lang w:val="en-US" w:eastAsia="zh-CN"/>
        </w:rPr>
        <w:t xml:space="preserve"> mean value in children of the</w:t>
      </w:r>
      <w:r w:rsidR="004B483B">
        <w:rPr>
          <w:rFonts w:eastAsiaTheme="minorEastAsia"/>
          <w:sz w:val="28"/>
          <w:szCs w:val="28"/>
          <w:lang w:val="en-US" w:eastAsia="zh-CN"/>
        </w:rPr>
        <w:t xml:space="preserve"> control group was equal to 104</w:t>
      </w:r>
      <w:proofErr w:type="gramStart"/>
      <w:r w:rsidR="004B483B">
        <w:rPr>
          <w:rFonts w:eastAsiaTheme="minorEastAsia"/>
          <w:sz w:val="28"/>
          <w:szCs w:val="28"/>
          <w:lang w:val="en-US" w:eastAsia="zh-CN"/>
        </w:rPr>
        <w:t>,9</w:t>
      </w:r>
      <w:proofErr w:type="gramEnd"/>
      <w:r w:rsidR="004B483B">
        <w:rPr>
          <w:rFonts w:eastAsiaTheme="minorEastAsia"/>
          <w:sz w:val="28"/>
          <w:szCs w:val="28"/>
          <w:lang w:val="en-US" w:eastAsia="zh-CN"/>
        </w:rPr>
        <w:t>±6,</w:t>
      </w:r>
      <w:r w:rsidRPr="00DC0382">
        <w:rPr>
          <w:rFonts w:eastAsiaTheme="minorEastAsia"/>
          <w:sz w:val="28"/>
          <w:szCs w:val="28"/>
          <w:lang w:val="en-US" w:eastAsia="zh-CN"/>
        </w:rPr>
        <w:t>7 EU/ml, whic</w:t>
      </w:r>
      <w:r w:rsidR="004B483B">
        <w:rPr>
          <w:rFonts w:eastAsiaTheme="minorEastAsia"/>
          <w:sz w:val="28"/>
          <w:szCs w:val="28"/>
          <w:lang w:val="en-US" w:eastAsia="zh-CN"/>
        </w:rPr>
        <w:t>h was significantly higher (p&lt;0,</w:t>
      </w:r>
      <w:r w:rsidRPr="00DC0382">
        <w:rPr>
          <w:rFonts w:eastAsiaTheme="minorEastAsia"/>
          <w:sz w:val="28"/>
          <w:szCs w:val="28"/>
          <w:lang w:val="en-US" w:eastAsia="zh-CN"/>
        </w:rPr>
        <w:t>05) as compared to children with destructive changes in the duodenal mucosa (Table 1). The mean value of anti-LPS-</w:t>
      </w:r>
      <w:proofErr w:type="spellStart"/>
      <w:r w:rsidRPr="00DC0382">
        <w:rPr>
          <w:rFonts w:eastAsiaTheme="minorEastAsia"/>
          <w:sz w:val="28"/>
          <w:szCs w:val="28"/>
          <w:lang w:val="en-US" w:eastAsia="zh-CN"/>
        </w:rPr>
        <w:t>IgA</w:t>
      </w:r>
      <w:proofErr w:type="spellEnd"/>
      <w:r w:rsidRPr="00DC0382">
        <w:rPr>
          <w:rFonts w:eastAsiaTheme="minorEastAsia"/>
          <w:sz w:val="28"/>
          <w:szCs w:val="28"/>
          <w:lang w:val="en-US" w:eastAsia="zh-CN"/>
        </w:rPr>
        <w:t xml:space="preserve"> level in the control gr</w:t>
      </w:r>
      <w:r w:rsidR="00F101DA" w:rsidRPr="00DC0382">
        <w:rPr>
          <w:rFonts w:eastAsiaTheme="minorEastAsia"/>
          <w:sz w:val="28"/>
          <w:szCs w:val="28"/>
          <w:lang w:val="en-US" w:eastAsia="zh-CN"/>
        </w:rPr>
        <w:t>ou</w:t>
      </w:r>
      <w:r w:rsidR="004B483B">
        <w:rPr>
          <w:rFonts w:eastAsiaTheme="minorEastAsia"/>
          <w:sz w:val="28"/>
          <w:szCs w:val="28"/>
          <w:lang w:val="en-US" w:eastAsia="zh-CN"/>
        </w:rPr>
        <w:t>p was significantly higher (p&lt;0,</w:t>
      </w:r>
      <w:r w:rsidR="00F101DA" w:rsidRPr="00DC0382">
        <w:rPr>
          <w:rFonts w:eastAsiaTheme="minorEastAsia"/>
          <w:sz w:val="28"/>
          <w:szCs w:val="28"/>
          <w:lang w:val="en-US" w:eastAsia="zh-CN"/>
        </w:rPr>
        <w:t>001</w:t>
      </w:r>
      <w:r w:rsidRPr="00DC0382">
        <w:rPr>
          <w:rFonts w:eastAsiaTheme="minorEastAsia"/>
          <w:sz w:val="28"/>
          <w:szCs w:val="28"/>
          <w:lang w:val="en-US" w:eastAsia="zh-CN"/>
        </w:rPr>
        <w:t xml:space="preserve">) </w:t>
      </w:r>
      <w:r w:rsidR="00F101DA" w:rsidRPr="00DC0382">
        <w:rPr>
          <w:rFonts w:eastAsiaTheme="minorEastAsia"/>
          <w:sz w:val="28"/>
          <w:szCs w:val="28"/>
          <w:lang w:val="en-US" w:eastAsia="zh-CN"/>
        </w:rPr>
        <w:t>in comparison with</w:t>
      </w:r>
      <w:r w:rsidRPr="00DC0382">
        <w:rPr>
          <w:rFonts w:eastAsiaTheme="minorEastAsia"/>
          <w:sz w:val="28"/>
          <w:szCs w:val="28"/>
          <w:lang w:val="en-US" w:eastAsia="zh-CN"/>
        </w:rPr>
        <w:t xml:space="preserve"> </w:t>
      </w:r>
      <w:r w:rsidR="00F101DA" w:rsidRPr="00DC0382">
        <w:rPr>
          <w:rFonts w:eastAsiaTheme="minorEastAsia"/>
          <w:sz w:val="28"/>
          <w:szCs w:val="28"/>
          <w:lang w:val="en-US" w:eastAsia="zh-CN"/>
        </w:rPr>
        <w:t xml:space="preserve">the first </w:t>
      </w:r>
      <w:r w:rsidRPr="00DC0382">
        <w:rPr>
          <w:rFonts w:eastAsiaTheme="minorEastAsia"/>
          <w:sz w:val="28"/>
          <w:szCs w:val="28"/>
          <w:lang w:val="en-US" w:eastAsia="zh-CN"/>
        </w:rPr>
        <w:t xml:space="preserve">groups </w:t>
      </w:r>
      <w:r w:rsidR="00F101DA" w:rsidRPr="00DC0382">
        <w:rPr>
          <w:rFonts w:eastAsiaTheme="minorEastAsia"/>
          <w:sz w:val="28"/>
          <w:szCs w:val="28"/>
          <w:lang w:val="en-US" w:eastAsia="zh-CN"/>
        </w:rPr>
        <w:t>of children</w:t>
      </w:r>
      <w:r w:rsidRPr="00DC0382">
        <w:rPr>
          <w:rFonts w:eastAsiaTheme="minorEastAsia"/>
          <w:sz w:val="28"/>
          <w:szCs w:val="28"/>
          <w:lang w:val="en-US" w:eastAsia="zh-CN"/>
        </w:rPr>
        <w:t xml:space="preserve"> </w:t>
      </w:r>
      <w:r w:rsidR="004B483B">
        <w:rPr>
          <w:rFonts w:eastAsiaTheme="minorEastAsia"/>
          <w:sz w:val="28"/>
          <w:szCs w:val="28"/>
          <w:lang w:val="en-US" w:eastAsia="zh-CN"/>
        </w:rPr>
        <w:t>(69</w:t>
      </w:r>
      <w:proofErr w:type="gramStart"/>
      <w:r w:rsidR="004B483B">
        <w:rPr>
          <w:rFonts w:eastAsiaTheme="minorEastAsia"/>
          <w:sz w:val="28"/>
          <w:szCs w:val="28"/>
          <w:lang w:val="en-US" w:eastAsia="zh-CN"/>
        </w:rPr>
        <w:t>,3</w:t>
      </w:r>
      <w:proofErr w:type="gramEnd"/>
      <w:r w:rsidR="004B483B">
        <w:rPr>
          <w:rFonts w:eastAsiaTheme="minorEastAsia"/>
          <w:sz w:val="28"/>
          <w:szCs w:val="28"/>
          <w:lang w:val="en-US" w:eastAsia="zh-CN"/>
        </w:rPr>
        <w:t>±4,</w:t>
      </w:r>
      <w:r w:rsidR="00F101DA" w:rsidRPr="00DC0382">
        <w:rPr>
          <w:rFonts w:eastAsiaTheme="minorEastAsia"/>
          <w:sz w:val="28"/>
          <w:szCs w:val="28"/>
          <w:lang w:val="en-US" w:eastAsia="zh-CN"/>
        </w:rPr>
        <w:t>4 EU/</w:t>
      </w:r>
      <w:r w:rsidRPr="00DC0382">
        <w:rPr>
          <w:rFonts w:eastAsiaTheme="minorEastAsia"/>
          <w:sz w:val="28"/>
          <w:szCs w:val="28"/>
          <w:lang w:val="en-US" w:eastAsia="zh-CN"/>
        </w:rPr>
        <w:t>ml</w:t>
      </w:r>
      <w:r w:rsidR="00F101DA" w:rsidRPr="00DC0382">
        <w:rPr>
          <w:rFonts w:eastAsiaTheme="minorEastAsia"/>
          <w:sz w:val="28"/>
          <w:szCs w:val="28"/>
          <w:lang w:val="en-US" w:eastAsia="zh-CN"/>
        </w:rPr>
        <w:t>)</w:t>
      </w:r>
      <w:r w:rsidRPr="00DC0382">
        <w:rPr>
          <w:rFonts w:eastAsiaTheme="minorEastAsia"/>
          <w:sz w:val="28"/>
          <w:szCs w:val="28"/>
          <w:lang w:val="en-US" w:eastAsia="zh-CN"/>
        </w:rPr>
        <w:t xml:space="preserve">. </w:t>
      </w:r>
      <w:r w:rsidR="00F101DA" w:rsidRPr="00DC0382">
        <w:rPr>
          <w:rFonts w:eastAsiaTheme="minorEastAsia"/>
          <w:sz w:val="28"/>
          <w:szCs w:val="28"/>
          <w:lang w:val="en-US" w:eastAsia="zh-CN"/>
        </w:rPr>
        <w:t>The mean value of anti-LPS-</w:t>
      </w:r>
      <w:proofErr w:type="spellStart"/>
      <w:r w:rsidR="00F101DA" w:rsidRPr="00DC0382">
        <w:rPr>
          <w:rFonts w:eastAsiaTheme="minorEastAsia"/>
          <w:sz w:val="28"/>
          <w:szCs w:val="28"/>
          <w:lang w:val="en-US" w:eastAsia="zh-CN"/>
        </w:rPr>
        <w:t>IgA</w:t>
      </w:r>
      <w:proofErr w:type="spellEnd"/>
      <w:r w:rsidR="00F101DA" w:rsidRPr="00DC0382">
        <w:rPr>
          <w:rFonts w:eastAsiaTheme="minorEastAsia"/>
          <w:sz w:val="28"/>
          <w:szCs w:val="28"/>
          <w:lang w:val="en-US" w:eastAsia="zh-CN"/>
        </w:rPr>
        <w:t xml:space="preserve"> level</w:t>
      </w:r>
      <w:r w:rsidRPr="00DC0382">
        <w:rPr>
          <w:rFonts w:eastAsiaTheme="minorEastAsia"/>
          <w:sz w:val="28"/>
          <w:szCs w:val="28"/>
          <w:lang w:val="en-US" w:eastAsia="zh-CN"/>
        </w:rPr>
        <w:t xml:space="preserve"> in children </w:t>
      </w:r>
      <w:r w:rsidR="00F101DA" w:rsidRPr="00DC0382">
        <w:rPr>
          <w:rFonts w:eastAsiaTheme="minorEastAsia"/>
          <w:sz w:val="28"/>
          <w:szCs w:val="28"/>
          <w:lang w:val="en-US" w:eastAsia="zh-CN"/>
        </w:rPr>
        <w:t>of the second group</w:t>
      </w:r>
      <w:r w:rsidRPr="00DC0382">
        <w:rPr>
          <w:rFonts w:eastAsiaTheme="minorEastAsia"/>
          <w:sz w:val="28"/>
          <w:szCs w:val="28"/>
          <w:lang w:val="en-US" w:eastAsia="zh-CN"/>
        </w:rPr>
        <w:t xml:space="preserve"> was also lower </w:t>
      </w:r>
      <w:r w:rsidR="00F101DA" w:rsidRPr="00DC0382">
        <w:rPr>
          <w:rFonts w:eastAsiaTheme="minorEastAsia"/>
          <w:sz w:val="28"/>
          <w:szCs w:val="28"/>
          <w:lang w:val="en-US" w:eastAsia="zh-CN"/>
        </w:rPr>
        <w:t>as compared to</w:t>
      </w:r>
      <w:r w:rsidRPr="00DC0382">
        <w:rPr>
          <w:rFonts w:eastAsiaTheme="minorEastAsia"/>
          <w:sz w:val="28"/>
          <w:szCs w:val="28"/>
          <w:lang w:val="en-US" w:eastAsia="zh-CN"/>
        </w:rPr>
        <w:t xml:space="preserve"> the control group </w:t>
      </w:r>
      <w:r w:rsidR="004B483B">
        <w:rPr>
          <w:rFonts w:eastAsiaTheme="minorEastAsia"/>
          <w:sz w:val="28"/>
          <w:szCs w:val="28"/>
          <w:lang w:val="en-US" w:eastAsia="zh-CN"/>
        </w:rPr>
        <w:t>(90</w:t>
      </w:r>
      <w:proofErr w:type="gramStart"/>
      <w:r w:rsidR="004B483B">
        <w:rPr>
          <w:rFonts w:eastAsiaTheme="minorEastAsia"/>
          <w:sz w:val="28"/>
          <w:szCs w:val="28"/>
          <w:lang w:val="en-US" w:eastAsia="zh-CN"/>
        </w:rPr>
        <w:t>,0</w:t>
      </w:r>
      <w:proofErr w:type="gramEnd"/>
      <w:r w:rsidR="004B483B">
        <w:rPr>
          <w:rFonts w:eastAsiaTheme="minorEastAsia"/>
          <w:sz w:val="28"/>
          <w:szCs w:val="28"/>
          <w:lang w:val="en-US" w:eastAsia="zh-CN"/>
        </w:rPr>
        <w:t>±5,</w:t>
      </w:r>
      <w:r w:rsidR="00F101DA" w:rsidRPr="00DC0382">
        <w:rPr>
          <w:rFonts w:eastAsiaTheme="minorEastAsia"/>
          <w:sz w:val="28"/>
          <w:szCs w:val="28"/>
          <w:lang w:val="en-US" w:eastAsia="zh-CN"/>
        </w:rPr>
        <w:t>4 EU/</w:t>
      </w:r>
      <w:r w:rsidRPr="00DC0382">
        <w:rPr>
          <w:rFonts w:eastAsiaTheme="minorEastAsia"/>
          <w:sz w:val="28"/>
          <w:szCs w:val="28"/>
          <w:lang w:val="en-US" w:eastAsia="zh-CN"/>
        </w:rPr>
        <w:t>ml</w:t>
      </w:r>
      <w:r w:rsidR="00F101DA" w:rsidRPr="00DC0382">
        <w:rPr>
          <w:rFonts w:eastAsiaTheme="minorEastAsia"/>
          <w:sz w:val="28"/>
          <w:szCs w:val="28"/>
          <w:lang w:val="en-US" w:eastAsia="zh-CN"/>
        </w:rPr>
        <w:t>)</w:t>
      </w:r>
      <w:r w:rsidRPr="00DC0382">
        <w:rPr>
          <w:rFonts w:eastAsiaTheme="minorEastAsia"/>
          <w:sz w:val="28"/>
          <w:szCs w:val="28"/>
          <w:lang w:val="en-US" w:eastAsia="zh-CN"/>
        </w:rPr>
        <w:t xml:space="preserve">, but </w:t>
      </w:r>
      <w:r w:rsidR="00F101DA" w:rsidRPr="00DC0382">
        <w:rPr>
          <w:rFonts w:eastAsiaTheme="minorEastAsia"/>
          <w:sz w:val="28"/>
          <w:szCs w:val="28"/>
          <w:lang w:val="en-US" w:eastAsia="zh-CN"/>
        </w:rPr>
        <w:t>any</w:t>
      </w:r>
      <w:r w:rsidRPr="00DC0382">
        <w:rPr>
          <w:rFonts w:eastAsiaTheme="minorEastAsia"/>
          <w:sz w:val="28"/>
          <w:szCs w:val="28"/>
          <w:lang w:val="en-US" w:eastAsia="zh-CN"/>
        </w:rPr>
        <w:t xml:space="preserve"> significant differences were</w:t>
      </w:r>
      <w:r w:rsidR="00F101DA" w:rsidRPr="00DC0382">
        <w:rPr>
          <w:rFonts w:eastAsiaTheme="minorEastAsia"/>
          <w:sz w:val="28"/>
          <w:szCs w:val="28"/>
          <w:lang w:val="en-US" w:eastAsia="zh-CN"/>
        </w:rPr>
        <w:t>n’t detected (p&gt;</w:t>
      </w:r>
      <w:r w:rsidR="004B483B">
        <w:rPr>
          <w:rFonts w:eastAsiaTheme="minorEastAsia"/>
          <w:sz w:val="28"/>
          <w:szCs w:val="28"/>
          <w:lang w:val="en-US" w:eastAsia="zh-CN"/>
        </w:rPr>
        <w:t>0,</w:t>
      </w:r>
      <w:r w:rsidRPr="00DC0382">
        <w:rPr>
          <w:rFonts w:eastAsiaTheme="minorEastAsia"/>
          <w:sz w:val="28"/>
          <w:szCs w:val="28"/>
          <w:lang w:val="en-US" w:eastAsia="zh-CN"/>
        </w:rPr>
        <w:t>05).</w:t>
      </w:r>
    </w:p>
    <w:p w:rsidR="00992566" w:rsidRPr="00DC0382" w:rsidRDefault="00992566" w:rsidP="00BC7970">
      <w:pPr>
        <w:spacing w:after="0" w:line="360" w:lineRule="auto"/>
        <w:ind w:firstLine="709"/>
        <w:jc w:val="both"/>
        <w:rPr>
          <w:rFonts w:eastAsiaTheme="minorEastAsia"/>
          <w:sz w:val="28"/>
          <w:szCs w:val="28"/>
          <w:lang w:val="en-US" w:eastAsia="zh-CN"/>
        </w:rPr>
      </w:pPr>
      <w:r w:rsidRPr="00DC0382">
        <w:rPr>
          <w:rFonts w:eastAsiaTheme="minorEastAsia"/>
          <w:sz w:val="28"/>
          <w:szCs w:val="28"/>
          <w:lang w:val="en-US" w:eastAsia="zh-CN"/>
        </w:rPr>
        <w:t>Anti-LPS-</w:t>
      </w:r>
      <w:proofErr w:type="spellStart"/>
      <w:r w:rsidRPr="00DC0382">
        <w:rPr>
          <w:rFonts w:eastAsiaTheme="minorEastAsia"/>
          <w:sz w:val="28"/>
          <w:szCs w:val="28"/>
          <w:lang w:val="en-US" w:eastAsia="zh-CN"/>
        </w:rPr>
        <w:t>IgG</w:t>
      </w:r>
      <w:proofErr w:type="spellEnd"/>
      <w:r w:rsidRPr="00DC0382">
        <w:rPr>
          <w:rFonts w:eastAsiaTheme="minorEastAsia"/>
          <w:sz w:val="28"/>
          <w:szCs w:val="28"/>
          <w:lang w:val="en-US" w:eastAsia="zh-CN"/>
        </w:rPr>
        <w:t xml:space="preserve"> level depended on </w:t>
      </w:r>
      <w:r w:rsidR="00FB60E5" w:rsidRPr="00DC0382">
        <w:rPr>
          <w:rFonts w:eastAsiaTheme="minorEastAsia"/>
          <w:sz w:val="28"/>
          <w:szCs w:val="28"/>
          <w:lang w:val="en-US" w:eastAsia="zh-CN"/>
        </w:rPr>
        <w:t>Hp</w:t>
      </w:r>
      <w:r w:rsidRPr="00DC0382">
        <w:rPr>
          <w:rFonts w:eastAsiaTheme="minorEastAsia"/>
          <w:sz w:val="28"/>
          <w:szCs w:val="28"/>
          <w:lang w:val="en-US" w:eastAsia="zh-CN"/>
        </w:rPr>
        <w:t xml:space="preserve"> </w:t>
      </w:r>
      <w:r w:rsidR="00FB60E5" w:rsidRPr="00DC0382">
        <w:rPr>
          <w:rFonts w:eastAsiaTheme="minorEastAsia"/>
          <w:sz w:val="28"/>
          <w:szCs w:val="28"/>
          <w:lang w:val="en-US" w:eastAsia="zh-CN"/>
        </w:rPr>
        <w:t xml:space="preserve">virulence and </w:t>
      </w:r>
      <w:r w:rsidRPr="00DC0382">
        <w:rPr>
          <w:rFonts w:eastAsiaTheme="minorEastAsia"/>
          <w:sz w:val="28"/>
          <w:szCs w:val="28"/>
          <w:lang w:val="en-US" w:eastAsia="zh-CN"/>
        </w:rPr>
        <w:t xml:space="preserve">degree of </w:t>
      </w:r>
      <w:r w:rsidR="00FB60E5" w:rsidRPr="00DC0382">
        <w:rPr>
          <w:rFonts w:eastAsiaTheme="minorEastAsia"/>
          <w:sz w:val="28"/>
          <w:szCs w:val="28"/>
          <w:lang w:val="en-US" w:eastAsia="zh-CN"/>
        </w:rPr>
        <w:t xml:space="preserve">the </w:t>
      </w:r>
      <w:r w:rsidRPr="00DC0382">
        <w:rPr>
          <w:rFonts w:eastAsiaTheme="minorEastAsia"/>
          <w:sz w:val="28"/>
          <w:szCs w:val="28"/>
          <w:lang w:val="en-US" w:eastAsia="zh-CN"/>
        </w:rPr>
        <w:t>destructive changes in the duoden</w:t>
      </w:r>
      <w:r w:rsidR="00FB60E5" w:rsidRPr="00DC0382">
        <w:rPr>
          <w:rFonts w:eastAsiaTheme="minorEastAsia"/>
          <w:sz w:val="28"/>
          <w:szCs w:val="28"/>
          <w:lang w:val="en-US" w:eastAsia="zh-CN"/>
        </w:rPr>
        <w:t>al mucosa</w:t>
      </w:r>
      <w:r w:rsidRPr="00DC0382">
        <w:rPr>
          <w:rFonts w:eastAsiaTheme="minorEastAsia"/>
          <w:sz w:val="28"/>
          <w:szCs w:val="28"/>
          <w:lang w:val="en-US" w:eastAsia="zh-CN"/>
        </w:rPr>
        <w:t xml:space="preserve">. Thus, </w:t>
      </w:r>
      <w:r w:rsidR="00FB60E5" w:rsidRPr="00DC0382">
        <w:rPr>
          <w:rFonts w:eastAsiaTheme="minorEastAsia"/>
          <w:sz w:val="28"/>
          <w:szCs w:val="28"/>
          <w:lang w:val="en-US" w:eastAsia="zh-CN"/>
        </w:rPr>
        <w:t>anti-</w:t>
      </w:r>
      <w:r w:rsidRPr="00DC0382">
        <w:rPr>
          <w:rFonts w:eastAsiaTheme="minorEastAsia"/>
          <w:sz w:val="28"/>
          <w:szCs w:val="28"/>
          <w:lang w:val="en-US" w:eastAsia="zh-CN"/>
        </w:rPr>
        <w:t>LPS-</w:t>
      </w:r>
      <w:proofErr w:type="spellStart"/>
      <w:r w:rsidRPr="00DC0382">
        <w:rPr>
          <w:rFonts w:eastAsiaTheme="minorEastAsia"/>
          <w:sz w:val="28"/>
          <w:szCs w:val="28"/>
          <w:lang w:val="en-US" w:eastAsia="zh-CN"/>
        </w:rPr>
        <w:t>IgG</w:t>
      </w:r>
      <w:proofErr w:type="spellEnd"/>
      <w:r w:rsidRPr="00DC0382">
        <w:rPr>
          <w:rFonts w:eastAsiaTheme="minorEastAsia"/>
          <w:sz w:val="28"/>
          <w:szCs w:val="28"/>
          <w:lang w:val="en-US" w:eastAsia="zh-CN"/>
        </w:rPr>
        <w:t xml:space="preserve"> </w:t>
      </w:r>
      <w:r w:rsidR="00FB60E5" w:rsidRPr="00DC0382">
        <w:rPr>
          <w:rFonts w:eastAsiaTheme="minorEastAsia"/>
          <w:sz w:val="28"/>
          <w:szCs w:val="28"/>
          <w:lang w:val="en-US" w:eastAsia="zh-CN"/>
        </w:rPr>
        <w:t xml:space="preserve">level </w:t>
      </w:r>
      <w:r w:rsidRPr="00DC0382">
        <w:rPr>
          <w:rFonts w:eastAsiaTheme="minorEastAsia"/>
          <w:sz w:val="28"/>
          <w:szCs w:val="28"/>
          <w:lang w:val="en-US" w:eastAsia="zh-CN"/>
        </w:rPr>
        <w:t xml:space="preserve">was </w:t>
      </w:r>
      <w:r w:rsidR="00FB60E5" w:rsidRPr="00DC0382">
        <w:rPr>
          <w:rFonts w:eastAsiaTheme="minorEastAsia"/>
          <w:sz w:val="28"/>
          <w:szCs w:val="28"/>
          <w:lang w:val="en-US" w:eastAsia="zh-CN"/>
        </w:rPr>
        <w:t>significantly lower in statistical respect</w:t>
      </w:r>
      <w:r w:rsidRPr="00DC0382">
        <w:rPr>
          <w:rFonts w:eastAsiaTheme="minorEastAsia"/>
          <w:sz w:val="28"/>
          <w:szCs w:val="28"/>
          <w:lang w:val="en-US" w:eastAsia="zh-CN"/>
        </w:rPr>
        <w:t xml:space="preserve"> </w:t>
      </w:r>
      <w:r w:rsidR="006147EA">
        <w:rPr>
          <w:rFonts w:eastAsiaTheme="minorEastAsia"/>
          <w:sz w:val="28"/>
          <w:szCs w:val="28"/>
          <w:lang w:val="en-US" w:eastAsia="zh-CN"/>
        </w:rPr>
        <w:t>(p&lt;0,</w:t>
      </w:r>
      <w:r w:rsidR="00FB60E5" w:rsidRPr="00DC0382">
        <w:rPr>
          <w:rFonts w:eastAsiaTheme="minorEastAsia"/>
          <w:sz w:val="28"/>
          <w:szCs w:val="28"/>
          <w:lang w:val="en-US" w:eastAsia="zh-CN"/>
        </w:rPr>
        <w:t xml:space="preserve">001) in the blood serum of patients with CGDP as compared to the control group </w:t>
      </w:r>
      <w:r w:rsidRPr="00DC0382">
        <w:rPr>
          <w:rFonts w:eastAsiaTheme="minorEastAsia"/>
          <w:sz w:val="28"/>
          <w:szCs w:val="28"/>
          <w:lang w:val="en-US" w:eastAsia="zh-CN"/>
        </w:rPr>
        <w:t xml:space="preserve">(Table 1). </w:t>
      </w:r>
      <w:r w:rsidR="00FB60E5" w:rsidRPr="00DC0382">
        <w:rPr>
          <w:rFonts w:eastAsiaTheme="minorEastAsia"/>
          <w:sz w:val="28"/>
          <w:szCs w:val="28"/>
          <w:lang w:val="en-US" w:eastAsia="zh-CN"/>
        </w:rPr>
        <w:t>A</w:t>
      </w:r>
      <w:r w:rsidRPr="00DC0382">
        <w:rPr>
          <w:rFonts w:eastAsiaTheme="minorEastAsia"/>
          <w:sz w:val="28"/>
          <w:szCs w:val="28"/>
          <w:lang w:val="en-US" w:eastAsia="zh-CN"/>
        </w:rPr>
        <w:t>nti-LPS-</w:t>
      </w:r>
      <w:proofErr w:type="spellStart"/>
      <w:r w:rsidRPr="00DC0382">
        <w:rPr>
          <w:rFonts w:eastAsiaTheme="minorEastAsia"/>
          <w:sz w:val="28"/>
          <w:szCs w:val="28"/>
          <w:lang w:val="en-US" w:eastAsia="zh-CN"/>
        </w:rPr>
        <w:t>IgG</w:t>
      </w:r>
      <w:proofErr w:type="spellEnd"/>
      <w:r w:rsidRPr="00DC0382">
        <w:rPr>
          <w:rFonts w:eastAsiaTheme="minorEastAsia"/>
          <w:sz w:val="28"/>
          <w:szCs w:val="28"/>
          <w:lang w:val="en-US" w:eastAsia="zh-CN"/>
        </w:rPr>
        <w:t xml:space="preserve"> </w:t>
      </w:r>
      <w:r w:rsidR="00FB60E5" w:rsidRPr="00DC0382">
        <w:rPr>
          <w:rFonts w:eastAsiaTheme="minorEastAsia"/>
          <w:sz w:val="28"/>
          <w:szCs w:val="28"/>
          <w:lang w:val="en-US" w:eastAsia="zh-CN"/>
        </w:rPr>
        <w:t xml:space="preserve">mean value </w:t>
      </w:r>
      <w:r w:rsidRPr="00DC0382">
        <w:rPr>
          <w:rFonts w:eastAsiaTheme="minorEastAsia"/>
          <w:sz w:val="28"/>
          <w:szCs w:val="28"/>
          <w:lang w:val="en-US" w:eastAsia="zh-CN"/>
        </w:rPr>
        <w:t xml:space="preserve">in the blood </w:t>
      </w:r>
      <w:r w:rsidR="00FB60E5" w:rsidRPr="00DC0382">
        <w:rPr>
          <w:rFonts w:eastAsiaTheme="minorEastAsia"/>
          <w:sz w:val="28"/>
          <w:szCs w:val="28"/>
          <w:lang w:val="en-US" w:eastAsia="zh-CN"/>
        </w:rPr>
        <w:t xml:space="preserve">serum </w:t>
      </w:r>
      <w:r w:rsidRPr="00DC0382">
        <w:rPr>
          <w:rFonts w:eastAsiaTheme="minorEastAsia"/>
          <w:sz w:val="28"/>
          <w:szCs w:val="28"/>
          <w:lang w:val="en-US" w:eastAsia="zh-CN"/>
        </w:rPr>
        <w:t xml:space="preserve">of patients infected with virulent </w:t>
      </w:r>
      <w:r w:rsidR="00FB60E5" w:rsidRPr="00DC0382">
        <w:rPr>
          <w:rFonts w:eastAsiaTheme="minorEastAsia"/>
          <w:sz w:val="28"/>
          <w:szCs w:val="28"/>
          <w:lang w:val="en-US" w:eastAsia="zh-CN"/>
        </w:rPr>
        <w:t xml:space="preserve">Hp </w:t>
      </w:r>
      <w:r w:rsidRPr="00DC0382">
        <w:rPr>
          <w:rFonts w:eastAsiaTheme="minorEastAsia"/>
          <w:sz w:val="28"/>
          <w:szCs w:val="28"/>
          <w:lang w:val="en-US" w:eastAsia="zh-CN"/>
        </w:rPr>
        <w:t xml:space="preserve">strains was </w:t>
      </w:r>
      <w:r w:rsidR="006147EA">
        <w:rPr>
          <w:rFonts w:eastAsiaTheme="minorEastAsia"/>
          <w:sz w:val="28"/>
          <w:szCs w:val="28"/>
          <w:lang w:val="en-US" w:eastAsia="zh-CN"/>
        </w:rPr>
        <w:t>equal to 73,</w:t>
      </w:r>
      <w:r w:rsidR="00FB60E5" w:rsidRPr="00DC0382">
        <w:rPr>
          <w:rFonts w:eastAsiaTheme="minorEastAsia"/>
          <w:sz w:val="28"/>
          <w:szCs w:val="28"/>
          <w:lang w:val="en-US" w:eastAsia="zh-CN"/>
        </w:rPr>
        <w:t>1±4,2 EU/</w:t>
      </w:r>
      <w:r w:rsidRPr="00DC0382">
        <w:rPr>
          <w:rFonts w:eastAsiaTheme="minorEastAsia"/>
          <w:sz w:val="28"/>
          <w:szCs w:val="28"/>
          <w:lang w:val="en-US" w:eastAsia="zh-CN"/>
        </w:rPr>
        <w:t xml:space="preserve">ml, </w:t>
      </w:r>
      <w:r w:rsidR="00FB60E5" w:rsidRPr="00DC0382">
        <w:rPr>
          <w:rFonts w:eastAsiaTheme="minorEastAsia"/>
          <w:sz w:val="28"/>
          <w:szCs w:val="28"/>
          <w:lang w:val="en-US" w:eastAsia="zh-CN"/>
        </w:rPr>
        <w:t xml:space="preserve">with </w:t>
      </w:r>
      <w:r w:rsidRPr="00DC0382">
        <w:rPr>
          <w:rFonts w:eastAsiaTheme="minorEastAsia"/>
          <w:sz w:val="28"/>
          <w:szCs w:val="28"/>
          <w:lang w:val="en-US" w:eastAsia="zh-CN"/>
        </w:rPr>
        <w:t xml:space="preserve">strains of </w:t>
      </w:r>
      <w:r w:rsidR="00FB60E5" w:rsidRPr="00DC0382">
        <w:rPr>
          <w:rFonts w:eastAsiaTheme="minorEastAsia"/>
          <w:sz w:val="28"/>
          <w:szCs w:val="28"/>
          <w:lang w:val="en-US" w:eastAsia="zh-CN"/>
        </w:rPr>
        <w:t xml:space="preserve">low-virulent </w:t>
      </w:r>
      <w:r w:rsidRPr="00DC0382">
        <w:rPr>
          <w:rFonts w:eastAsiaTheme="minorEastAsia"/>
          <w:sz w:val="28"/>
          <w:szCs w:val="28"/>
          <w:lang w:val="en-US" w:eastAsia="zh-CN"/>
        </w:rPr>
        <w:t xml:space="preserve">genotype </w:t>
      </w:r>
      <w:r w:rsidR="006147EA">
        <w:rPr>
          <w:rFonts w:eastAsiaTheme="minorEastAsia"/>
          <w:sz w:val="28"/>
          <w:szCs w:val="28"/>
          <w:lang w:val="en-US" w:eastAsia="zh-CN"/>
        </w:rPr>
        <w:t>–</w:t>
      </w:r>
      <w:r w:rsidR="00FB60E5" w:rsidRPr="00DC0382">
        <w:rPr>
          <w:rFonts w:eastAsiaTheme="minorEastAsia"/>
          <w:sz w:val="28"/>
          <w:szCs w:val="28"/>
          <w:lang w:val="en-US" w:eastAsia="zh-CN"/>
        </w:rPr>
        <w:t xml:space="preserve"> 9</w:t>
      </w:r>
      <w:r w:rsidR="006147EA">
        <w:rPr>
          <w:rFonts w:eastAsiaTheme="minorEastAsia"/>
          <w:sz w:val="28"/>
          <w:szCs w:val="28"/>
          <w:lang w:val="en-US" w:eastAsia="zh-CN"/>
        </w:rPr>
        <w:t>0,1±4,</w:t>
      </w:r>
      <w:r w:rsidR="00FB60E5" w:rsidRPr="00DC0382">
        <w:rPr>
          <w:rFonts w:eastAsiaTheme="minorEastAsia"/>
          <w:sz w:val="28"/>
          <w:szCs w:val="28"/>
          <w:lang w:val="en-US" w:eastAsia="zh-CN"/>
        </w:rPr>
        <w:t>6 EU/ml (p&lt;0,</w:t>
      </w:r>
      <w:r w:rsidRPr="00DC0382">
        <w:rPr>
          <w:rFonts w:eastAsiaTheme="minorEastAsia"/>
          <w:sz w:val="28"/>
          <w:szCs w:val="28"/>
          <w:lang w:val="en-US" w:eastAsia="zh-CN"/>
        </w:rPr>
        <w:t xml:space="preserve">01). </w:t>
      </w:r>
      <w:r w:rsidR="00FB60E5" w:rsidRPr="00DC0382">
        <w:rPr>
          <w:rFonts w:eastAsiaTheme="minorEastAsia"/>
          <w:sz w:val="28"/>
          <w:szCs w:val="28"/>
          <w:lang w:val="en-US" w:eastAsia="zh-CN"/>
        </w:rPr>
        <w:t>Anti-LPS-</w:t>
      </w:r>
      <w:proofErr w:type="spellStart"/>
      <w:r w:rsidR="00FB60E5" w:rsidRPr="00DC0382">
        <w:rPr>
          <w:rFonts w:eastAsiaTheme="minorEastAsia"/>
          <w:sz w:val="28"/>
          <w:szCs w:val="28"/>
          <w:lang w:val="en-US" w:eastAsia="zh-CN"/>
        </w:rPr>
        <w:t>IgG</w:t>
      </w:r>
      <w:proofErr w:type="spellEnd"/>
      <w:r w:rsidR="00FB60E5" w:rsidRPr="00DC0382">
        <w:rPr>
          <w:rFonts w:eastAsiaTheme="minorEastAsia"/>
          <w:sz w:val="28"/>
          <w:szCs w:val="28"/>
          <w:lang w:val="en-US" w:eastAsia="zh-CN"/>
        </w:rPr>
        <w:t xml:space="preserve"> </w:t>
      </w:r>
      <w:r w:rsidRPr="00DC0382">
        <w:rPr>
          <w:rFonts w:eastAsiaTheme="minorEastAsia"/>
          <w:sz w:val="28"/>
          <w:szCs w:val="28"/>
          <w:lang w:val="en-US" w:eastAsia="zh-CN"/>
        </w:rPr>
        <w:t xml:space="preserve">concentration </w:t>
      </w:r>
      <w:r w:rsidR="00FB60E5" w:rsidRPr="00DC0382">
        <w:rPr>
          <w:rFonts w:eastAsiaTheme="minorEastAsia"/>
          <w:sz w:val="28"/>
          <w:szCs w:val="28"/>
          <w:lang w:val="en-US" w:eastAsia="zh-CN"/>
        </w:rPr>
        <w:t>in</w:t>
      </w:r>
      <w:r w:rsidRPr="00DC0382">
        <w:rPr>
          <w:rFonts w:eastAsiaTheme="minorEastAsia"/>
          <w:sz w:val="28"/>
          <w:szCs w:val="28"/>
          <w:lang w:val="en-US" w:eastAsia="zh-CN"/>
        </w:rPr>
        <w:t xml:space="preserve"> children </w:t>
      </w:r>
      <w:r w:rsidR="00FB60E5" w:rsidRPr="00DC0382">
        <w:rPr>
          <w:rFonts w:eastAsiaTheme="minorEastAsia"/>
          <w:sz w:val="28"/>
          <w:szCs w:val="28"/>
          <w:lang w:val="en-US" w:eastAsia="zh-CN"/>
        </w:rPr>
        <w:t>of</w:t>
      </w:r>
      <w:r w:rsidRPr="00DC0382">
        <w:rPr>
          <w:rFonts w:eastAsiaTheme="minorEastAsia"/>
          <w:sz w:val="28"/>
          <w:szCs w:val="28"/>
          <w:lang w:val="en-US" w:eastAsia="zh-CN"/>
        </w:rPr>
        <w:t xml:space="preserve"> the control group was </w:t>
      </w:r>
      <w:r w:rsidR="006147EA">
        <w:rPr>
          <w:rFonts w:eastAsiaTheme="minorEastAsia"/>
          <w:sz w:val="28"/>
          <w:szCs w:val="28"/>
          <w:lang w:val="en-US" w:eastAsia="zh-CN"/>
        </w:rPr>
        <w:t>equal to 107</w:t>
      </w:r>
      <w:proofErr w:type="gramStart"/>
      <w:r w:rsidR="006147EA">
        <w:rPr>
          <w:rFonts w:eastAsiaTheme="minorEastAsia"/>
          <w:sz w:val="28"/>
          <w:szCs w:val="28"/>
          <w:lang w:val="en-US" w:eastAsia="zh-CN"/>
        </w:rPr>
        <w:t>,2</w:t>
      </w:r>
      <w:proofErr w:type="gramEnd"/>
      <w:r w:rsidR="006147EA">
        <w:rPr>
          <w:rFonts w:eastAsiaTheme="minorEastAsia"/>
          <w:sz w:val="28"/>
          <w:szCs w:val="28"/>
          <w:lang w:val="en-US" w:eastAsia="zh-CN"/>
        </w:rPr>
        <w:t>±5,</w:t>
      </w:r>
      <w:r w:rsidR="00FB60E5" w:rsidRPr="00DC0382">
        <w:rPr>
          <w:rFonts w:eastAsiaTheme="minorEastAsia"/>
          <w:sz w:val="28"/>
          <w:szCs w:val="28"/>
          <w:lang w:val="en-US" w:eastAsia="zh-CN"/>
        </w:rPr>
        <w:t>3 EU/</w:t>
      </w:r>
      <w:r w:rsidRPr="00DC0382">
        <w:rPr>
          <w:rFonts w:eastAsiaTheme="minorEastAsia"/>
          <w:sz w:val="28"/>
          <w:szCs w:val="28"/>
          <w:lang w:val="en-US" w:eastAsia="zh-CN"/>
        </w:rPr>
        <w:t>m</w:t>
      </w:r>
      <w:r w:rsidR="006147EA">
        <w:rPr>
          <w:rFonts w:eastAsiaTheme="minorEastAsia"/>
          <w:sz w:val="28"/>
          <w:szCs w:val="28"/>
          <w:lang w:val="en-US" w:eastAsia="zh-CN"/>
        </w:rPr>
        <w:t>l, which was significantly (p&lt;0,</w:t>
      </w:r>
      <w:r w:rsidRPr="00DC0382">
        <w:rPr>
          <w:rFonts w:eastAsiaTheme="minorEastAsia"/>
          <w:sz w:val="28"/>
          <w:szCs w:val="28"/>
          <w:lang w:val="en-US" w:eastAsia="zh-CN"/>
        </w:rPr>
        <w:t xml:space="preserve">05) </w:t>
      </w:r>
      <w:r w:rsidR="00A34DE6" w:rsidRPr="00DC0382">
        <w:rPr>
          <w:rFonts w:eastAsiaTheme="minorEastAsia"/>
          <w:sz w:val="28"/>
          <w:szCs w:val="28"/>
          <w:lang w:val="en-US" w:eastAsia="zh-CN"/>
        </w:rPr>
        <w:t>as compared</w:t>
      </w:r>
      <w:r w:rsidRPr="00DC0382">
        <w:rPr>
          <w:rFonts w:eastAsiaTheme="minorEastAsia"/>
          <w:sz w:val="28"/>
          <w:szCs w:val="28"/>
          <w:lang w:val="en-US" w:eastAsia="zh-CN"/>
        </w:rPr>
        <w:t xml:space="preserve"> to </w:t>
      </w:r>
      <w:r w:rsidR="00A34DE6" w:rsidRPr="00DC0382">
        <w:rPr>
          <w:rFonts w:eastAsiaTheme="minorEastAsia"/>
          <w:sz w:val="28"/>
          <w:szCs w:val="28"/>
          <w:lang w:val="en-US" w:eastAsia="zh-CN"/>
        </w:rPr>
        <w:t xml:space="preserve">the Hp-infected children’s </w:t>
      </w:r>
      <w:r w:rsidRPr="00DC0382">
        <w:rPr>
          <w:rFonts w:eastAsiaTheme="minorEastAsia"/>
          <w:sz w:val="28"/>
          <w:szCs w:val="28"/>
          <w:lang w:val="en-US" w:eastAsia="zh-CN"/>
        </w:rPr>
        <w:t>groups.</w:t>
      </w:r>
    </w:p>
    <w:p w:rsidR="00D17B99" w:rsidRPr="00DC0382" w:rsidRDefault="00D17B99" w:rsidP="006147EA">
      <w:pPr>
        <w:spacing w:after="0" w:line="360" w:lineRule="auto"/>
        <w:ind w:firstLine="709"/>
        <w:jc w:val="both"/>
        <w:rPr>
          <w:rFonts w:eastAsiaTheme="minorEastAsia"/>
          <w:sz w:val="28"/>
          <w:szCs w:val="28"/>
          <w:lang w:val="en-US" w:eastAsia="zh-CN"/>
        </w:rPr>
      </w:pPr>
      <w:r w:rsidRPr="00DC0382">
        <w:rPr>
          <w:rFonts w:eastAsiaTheme="minorEastAsia"/>
          <w:sz w:val="28"/>
          <w:szCs w:val="28"/>
          <w:lang w:val="en-US" w:eastAsia="zh-CN"/>
        </w:rPr>
        <w:t>Anti-LPS-</w:t>
      </w:r>
      <w:proofErr w:type="spellStart"/>
      <w:r w:rsidRPr="00DC0382">
        <w:rPr>
          <w:rFonts w:eastAsiaTheme="minorEastAsia"/>
          <w:sz w:val="28"/>
          <w:szCs w:val="28"/>
          <w:lang w:val="en-US" w:eastAsia="zh-CN"/>
        </w:rPr>
        <w:t>IgM</w:t>
      </w:r>
      <w:proofErr w:type="spellEnd"/>
      <w:r w:rsidRPr="00DC0382">
        <w:rPr>
          <w:rFonts w:eastAsiaTheme="minorEastAsia"/>
          <w:sz w:val="28"/>
          <w:szCs w:val="28"/>
          <w:lang w:val="en-US" w:eastAsia="zh-CN"/>
        </w:rPr>
        <w:t xml:space="preserve"> concentration in the blood serum of children i</w:t>
      </w:r>
      <w:r w:rsidR="006147EA">
        <w:rPr>
          <w:rFonts w:eastAsiaTheme="minorEastAsia"/>
          <w:sz w:val="28"/>
          <w:szCs w:val="28"/>
          <w:lang w:val="en-US" w:eastAsia="zh-CN"/>
        </w:rPr>
        <w:t>n the control group made up 110,2±4,</w:t>
      </w:r>
      <w:r w:rsidRPr="00DC0382">
        <w:rPr>
          <w:rFonts w:eastAsiaTheme="minorEastAsia"/>
          <w:sz w:val="28"/>
          <w:szCs w:val="28"/>
          <w:lang w:val="en-US" w:eastAsia="zh-CN"/>
        </w:rPr>
        <w:t xml:space="preserve">3 EU/ml, which was significantly </w:t>
      </w:r>
      <w:r w:rsidR="006147EA">
        <w:rPr>
          <w:rFonts w:eastAsiaTheme="minorEastAsia"/>
          <w:sz w:val="28"/>
          <w:szCs w:val="28"/>
          <w:lang w:val="en-US" w:eastAsia="zh-CN"/>
        </w:rPr>
        <w:t>(p&lt;0,</w:t>
      </w:r>
      <w:r w:rsidR="00E83687" w:rsidRPr="00DC0382">
        <w:rPr>
          <w:rFonts w:eastAsiaTheme="minorEastAsia"/>
          <w:sz w:val="28"/>
          <w:szCs w:val="28"/>
          <w:lang w:val="en-US" w:eastAsia="zh-CN"/>
        </w:rPr>
        <w:t xml:space="preserve">001) </w:t>
      </w:r>
      <w:r w:rsidRPr="00DC0382">
        <w:rPr>
          <w:rFonts w:eastAsiaTheme="minorEastAsia"/>
          <w:sz w:val="28"/>
          <w:szCs w:val="28"/>
          <w:lang w:val="en-US" w:eastAsia="zh-CN"/>
        </w:rPr>
        <w:t>higher as compared to children with destructive inflammatory changes in the mucosa (Table 1). Anti-LPS-</w:t>
      </w:r>
      <w:proofErr w:type="spellStart"/>
      <w:r w:rsidRPr="00DC0382">
        <w:rPr>
          <w:rFonts w:eastAsiaTheme="minorEastAsia"/>
          <w:sz w:val="28"/>
          <w:szCs w:val="28"/>
          <w:lang w:val="en-US" w:eastAsia="zh-CN"/>
        </w:rPr>
        <w:t>IgM</w:t>
      </w:r>
      <w:proofErr w:type="spellEnd"/>
      <w:r w:rsidRPr="00DC0382">
        <w:rPr>
          <w:rFonts w:eastAsiaTheme="minorEastAsia"/>
          <w:sz w:val="28"/>
          <w:szCs w:val="28"/>
          <w:lang w:val="en-US" w:eastAsia="zh-CN"/>
        </w:rPr>
        <w:t xml:space="preserve"> level in patient</w:t>
      </w:r>
      <w:r w:rsidR="006147EA">
        <w:rPr>
          <w:rFonts w:eastAsiaTheme="minorEastAsia"/>
          <w:sz w:val="28"/>
          <w:szCs w:val="28"/>
          <w:lang w:val="en-US" w:eastAsia="zh-CN"/>
        </w:rPr>
        <w:t>s of the first group was 74,6±3,</w:t>
      </w:r>
      <w:r w:rsidRPr="00DC0382">
        <w:rPr>
          <w:rFonts w:eastAsiaTheme="minorEastAsia"/>
          <w:sz w:val="28"/>
          <w:szCs w:val="28"/>
          <w:lang w:val="en-US" w:eastAsia="zh-CN"/>
        </w:rPr>
        <w:t xml:space="preserve">5 EU/ml, </w:t>
      </w:r>
      <w:r w:rsidR="00E83687" w:rsidRPr="00DC0382">
        <w:rPr>
          <w:rFonts w:eastAsiaTheme="minorEastAsia"/>
          <w:sz w:val="28"/>
          <w:szCs w:val="28"/>
          <w:lang w:val="en-US" w:eastAsia="zh-CN"/>
        </w:rPr>
        <w:t>while in</w:t>
      </w:r>
      <w:r w:rsidRPr="00DC0382">
        <w:rPr>
          <w:rFonts w:eastAsiaTheme="minorEastAsia"/>
          <w:sz w:val="28"/>
          <w:szCs w:val="28"/>
          <w:lang w:val="en-US" w:eastAsia="zh-CN"/>
        </w:rPr>
        <w:t xml:space="preserve"> </w:t>
      </w:r>
      <w:r w:rsidRPr="00DC0382">
        <w:rPr>
          <w:rFonts w:eastAsiaTheme="minorEastAsia"/>
          <w:sz w:val="28"/>
          <w:szCs w:val="28"/>
          <w:lang w:val="en-US" w:eastAsia="zh-CN"/>
        </w:rPr>
        <w:lastRenderedPageBreak/>
        <w:t xml:space="preserve">children of </w:t>
      </w:r>
      <w:r w:rsidR="00E83687" w:rsidRPr="00DC0382">
        <w:rPr>
          <w:rFonts w:eastAsiaTheme="minorEastAsia"/>
          <w:sz w:val="28"/>
          <w:szCs w:val="28"/>
          <w:lang w:val="en-US" w:eastAsia="zh-CN"/>
        </w:rPr>
        <w:t>the second group</w:t>
      </w:r>
      <w:r w:rsidRPr="00DC0382">
        <w:rPr>
          <w:rFonts w:eastAsiaTheme="minorEastAsia"/>
          <w:sz w:val="28"/>
          <w:szCs w:val="28"/>
          <w:lang w:val="en-US" w:eastAsia="zh-CN"/>
        </w:rPr>
        <w:t xml:space="preserve"> </w:t>
      </w:r>
      <w:r w:rsidR="006147EA">
        <w:rPr>
          <w:rFonts w:eastAsiaTheme="minorEastAsia"/>
          <w:sz w:val="28"/>
          <w:szCs w:val="28"/>
          <w:lang w:val="en-US" w:eastAsia="zh-CN"/>
        </w:rPr>
        <w:t>― 91,0±3,</w:t>
      </w:r>
      <w:r w:rsidR="00E83687" w:rsidRPr="00DC0382">
        <w:rPr>
          <w:rFonts w:eastAsiaTheme="minorEastAsia"/>
          <w:sz w:val="28"/>
          <w:szCs w:val="28"/>
          <w:lang w:val="en-US" w:eastAsia="zh-CN"/>
        </w:rPr>
        <w:t>2 EU/ml, which was significantly (p</w:t>
      </w:r>
      <w:r w:rsidR="006147EA">
        <w:rPr>
          <w:rFonts w:eastAsiaTheme="minorEastAsia"/>
          <w:sz w:val="28"/>
          <w:szCs w:val="28"/>
          <w:lang w:val="en-US" w:eastAsia="zh-CN"/>
        </w:rPr>
        <w:t>&lt;0,</w:t>
      </w:r>
      <w:r w:rsidRPr="00DC0382">
        <w:rPr>
          <w:rFonts w:eastAsiaTheme="minorEastAsia"/>
          <w:sz w:val="28"/>
          <w:szCs w:val="28"/>
          <w:lang w:val="en-US" w:eastAsia="zh-CN"/>
        </w:rPr>
        <w:t xml:space="preserve">001) lower </w:t>
      </w:r>
      <w:r w:rsidR="00E83687" w:rsidRPr="00DC0382">
        <w:rPr>
          <w:rFonts w:eastAsiaTheme="minorEastAsia"/>
          <w:sz w:val="28"/>
          <w:szCs w:val="28"/>
          <w:lang w:val="en-US" w:eastAsia="zh-CN"/>
        </w:rPr>
        <w:t>in comparison with the</w:t>
      </w:r>
      <w:r w:rsidRPr="00DC0382">
        <w:rPr>
          <w:rFonts w:eastAsiaTheme="minorEastAsia"/>
          <w:sz w:val="28"/>
          <w:szCs w:val="28"/>
          <w:lang w:val="en-US" w:eastAsia="zh-CN"/>
        </w:rPr>
        <w:t xml:space="preserve"> group of healthy children. </w:t>
      </w:r>
      <w:r w:rsidR="00E83687" w:rsidRPr="00DC0382">
        <w:rPr>
          <w:rFonts w:eastAsiaTheme="minorEastAsia"/>
          <w:sz w:val="28"/>
          <w:szCs w:val="28"/>
          <w:lang w:val="en-US" w:eastAsia="zh-CN"/>
        </w:rPr>
        <w:t>Anti-LPS-</w:t>
      </w:r>
      <w:proofErr w:type="spellStart"/>
      <w:r w:rsidR="00E83687" w:rsidRPr="00DC0382">
        <w:rPr>
          <w:rFonts w:eastAsiaTheme="minorEastAsia"/>
          <w:sz w:val="28"/>
          <w:szCs w:val="28"/>
          <w:lang w:val="en-US" w:eastAsia="zh-CN"/>
        </w:rPr>
        <w:t>IgM</w:t>
      </w:r>
      <w:proofErr w:type="spellEnd"/>
      <w:r w:rsidR="00E83687" w:rsidRPr="00DC0382">
        <w:rPr>
          <w:rFonts w:eastAsiaTheme="minorEastAsia"/>
          <w:sz w:val="28"/>
          <w:szCs w:val="28"/>
          <w:lang w:val="en-US" w:eastAsia="zh-CN"/>
        </w:rPr>
        <w:t xml:space="preserve"> concentration in the blood serum of c</w:t>
      </w:r>
      <w:r w:rsidRPr="00DC0382">
        <w:rPr>
          <w:rFonts w:eastAsiaTheme="minorEastAsia"/>
          <w:sz w:val="28"/>
          <w:szCs w:val="28"/>
          <w:lang w:val="en-US" w:eastAsia="zh-CN"/>
        </w:rPr>
        <w:t xml:space="preserve">hildren with persistent virulent </w:t>
      </w:r>
      <w:r w:rsidR="00E83687" w:rsidRPr="00DC0382">
        <w:rPr>
          <w:rFonts w:eastAsiaTheme="minorEastAsia"/>
          <w:sz w:val="28"/>
          <w:szCs w:val="28"/>
          <w:lang w:val="en-US" w:eastAsia="zh-CN"/>
        </w:rPr>
        <w:t>Hp strains was significantly (p</w:t>
      </w:r>
      <w:r w:rsidR="006147EA">
        <w:rPr>
          <w:rFonts w:eastAsiaTheme="minorEastAsia"/>
          <w:sz w:val="28"/>
          <w:szCs w:val="28"/>
          <w:lang w:val="en-US" w:eastAsia="zh-CN"/>
        </w:rPr>
        <w:t>&lt;0</w:t>
      </w:r>
      <w:proofErr w:type="gramStart"/>
      <w:r w:rsidR="006147EA">
        <w:rPr>
          <w:rFonts w:eastAsiaTheme="minorEastAsia"/>
          <w:sz w:val="28"/>
          <w:szCs w:val="28"/>
          <w:lang w:val="en-US" w:eastAsia="zh-CN"/>
        </w:rPr>
        <w:t>,</w:t>
      </w:r>
      <w:r w:rsidRPr="00DC0382">
        <w:rPr>
          <w:rFonts w:eastAsiaTheme="minorEastAsia"/>
          <w:sz w:val="28"/>
          <w:szCs w:val="28"/>
          <w:lang w:val="en-US" w:eastAsia="zh-CN"/>
        </w:rPr>
        <w:t>01</w:t>
      </w:r>
      <w:proofErr w:type="gramEnd"/>
      <w:r w:rsidRPr="00DC0382">
        <w:rPr>
          <w:rFonts w:eastAsiaTheme="minorEastAsia"/>
          <w:sz w:val="28"/>
          <w:szCs w:val="28"/>
          <w:lang w:val="en-US" w:eastAsia="zh-CN"/>
        </w:rPr>
        <w:t xml:space="preserve">) lower </w:t>
      </w:r>
      <w:r w:rsidR="00E83687" w:rsidRPr="00DC0382">
        <w:rPr>
          <w:rFonts w:eastAsiaTheme="minorEastAsia"/>
          <w:sz w:val="28"/>
          <w:szCs w:val="28"/>
          <w:lang w:val="en-US" w:eastAsia="zh-CN"/>
        </w:rPr>
        <w:t>as compared to</w:t>
      </w:r>
      <w:r w:rsidRPr="00DC0382">
        <w:rPr>
          <w:rFonts w:eastAsiaTheme="minorEastAsia"/>
          <w:sz w:val="28"/>
          <w:szCs w:val="28"/>
          <w:lang w:val="en-US" w:eastAsia="zh-CN"/>
        </w:rPr>
        <w:t xml:space="preserve"> group of children infected with less virulent strains.</w:t>
      </w:r>
    </w:p>
    <w:p w:rsidR="00BC7970" w:rsidRPr="00DC0382" w:rsidRDefault="00E83687" w:rsidP="00BB6034">
      <w:pPr>
        <w:spacing w:after="0" w:line="360" w:lineRule="auto"/>
        <w:ind w:firstLine="709"/>
        <w:jc w:val="both"/>
        <w:rPr>
          <w:rFonts w:eastAsiaTheme="minorEastAsia"/>
          <w:sz w:val="28"/>
          <w:szCs w:val="28"/>
          <w:lang w:val="en-US" w:eastAsia="zh-CN"/>
        </w:rPr>
      </w:pPr>
      <w:proofErr w:type="gramStart"/>
      <w:r w:rsidRPr="00DC0382">
        <w:rPr>
          <w:rFonts w:eastAsiaTheme="minorEastAsia"/>
          <w:b/>
          <w:sz w:val="28"/>
          <w:szCs w:val="28"/>
          <w:lang w:val="en-US" w:eastAsia="zh-CN"/>
        </w:rPr>
        <w:t>Conclusions</w:t>
      </w:r>
      <w:r w:rsidR="00BC7970" w:rsidRPr="00DC0382">
        <w:rPr>
          <w:rFonts w:eastAsiaTheme="minorEastAsia"/>
          <w:b/>
          <w:sz w:val="28"/>
          <w:szCs w:val="28"/>
          <w:lang w:val="en-US" w:eastAsia="zh-CN"/>
        </w:rPr>
        <w:t>.</w:t>
      </w:r>
      <w:proofErr w:type="gramEnd"/>
      <w:r w:rsidR="001B2AD4" w:rsidRPr="00DC0382">
        <w:rPr>
          <w:rFonts w:eastAsiaTheme="minorEastAsia"/>
          <w:b/>
          <w:sz w:val="28"/>
          <w:szCs w:val="28"/>
          <w:lang w:val="en-US" w:eastAsia="zh-CN"/>
        </w:rPr>
        <w:t xml:space="preserve"> </w:t>
      </w:r>
      <w:r w:rsidRPr="00DC0382">
        <w:rPr>
          <w:rFonts w:eastAsiaTheme="minorEastAsia"/>
          <w:sz w:val="28"/>
          <w:szCs w:val="28"/>
          <w:lang w:val="en-US" w:eastAsia="zh-CN"/>
        </w:rPr>
        <w:t xml:space="preserve">Therefore, </w:t>
      </w:r>
      <w:r w:rsidR="00BF7125" w:rsidRPr="00DC0382">
        <w:rPr>
          <w:rFonts w:eastAsiaTheme="minorEastAsia"/>
          <w:sz w:val="28"/>
          <w:szCs w:val="28"/>
          <w:lang w:val="en-US" w:eastAsia="zh-CN"/>
        </w:rPr>
        <w:t xml:space="preserve">stated </w:t>
      </w:r>
      <w:r w:rsidRPr="00DC0382">
        <w:rPr>
          <w:rFonts w:eastAsiaTheme="minorEastAsia"/>
          <w:sz w:val="28"/>
          <w:szCs w:val="28"/>
          <w:lang w:val="en-US" w:eastAsia="zh-CN"/>
        </w:rPr>
        <w:t xml:space="preserve">results suggest that the erosive and ulcerative diseases of the duodenal mucosa occur on the background of </w:t>
      </w:r>
      <w:r w:rsidR="00BF7125" w:rsidRPr="00DC0382">
        <w:rPr>
          <w:rFonts w:eastAsiaTheme="minorEastAsia"/>
          <w:sz w:val="28"/>
          <w:szCs w:val="28"/>
          <w:lang w:val="en-US" w:eastAsia="zh-CN"/>
        </w:rPr>
        <w:t>disorders in</w:t>
      </w:r>
      <w:r w:rsidRPr="00DC0382">
        <w:rPr>
          <w:rFonts w:eastAsiaTheme="minorEastAsia"/>
          <w:sz w:val="28"/>
          <w:szCs w:val="28"/>
          <w:lang w:val="en-US" w:eastAsia="zh-CN"/>
        </w:rPr>
        <w:t xml:space="preserve"> the normal </w:t>
      </w:r>
      <w:proofErr w:type="spellStart"/>
      <w:r w:rsidRPr="00DC0382">
        <w:rPr>
          <w:rFonts w:eastAsiaTheme="minorEastAsia"/>
          <w:sz w:val="28"/>
          <w:szCs w:val="28"/>
          <w:lang w:val="en-US" w:eastAsia="zh-CN"/>
        </w:rPr>
        <w:t>microflora</w:t>
      </w:r>
      <w:proofErr w:type="spellEnd"/>
      <w:r w:rsidRPr="00DC0382">
        <w:rPr>
          <w:rFonts w:eastAsiaTheme="minorEastAsia"/>
          <w:sz w:val="28"/>
          <w:szCs w:val="28"/>
          <w:lang w:val="en-US" w:eastAsia="zh-CN"/>
        </w:rPr>
        <w:t xml:space="preserve"> of the </w:t>
      </w:r>
      <w:r w:rsidR="00B3231B">
        <w:rPr>
          <w:rFonts w:eastAsiaTheme="minorEastAsia"/>
          <w:sz w:val="28"/>
          <w:szCs w:val="28"/>
          <w:lang w:val="en-US" w:eastAsia="zh-CN"/>
        </w:rPr>
        <w:t>various</w:t>
      </w:r>
      <w:r w:rsidRPr="00DC0382">
        <w:rPr>
          <w:rFonts w:eastAsiaTheme="minorEastAsia"/>
          <w:sz w:val="28"/>
          <w:szCs w:val="28"/>
          <w:lang w:val="en-US" w:eastAsia="zh-CN"/>
        </w:rPr>
        <w:t xml:space="preserve"> parts of the digestive system</w:t>
      </w:r>
      <w:r w:rsidR="00BF7125" w:rsidRPr="00DC0382">
        <w:rPr>
          <w:rFonts w:eastAsiaTheme="minorEastAsia"/>
          <w:sz w:val="28"/>
          <w:szCs w:val="28"/>
          <w:lang w:val="en-US" w:eastAsia="zh-CN"/>
        </w:rPr>
        <w:t>,</w:t>
      </w:r>
      <w:r w:rsidRPr="00DC0382">
        <w:rPr>
          <w:rFonts w:eastAsiaTheme="minorEastAsia"/>
          <w:sz w:val="28"/>
          <w:szCs w:val="28"/>
          <w:lang w:val="en-US" w:eastAsia="zh-CN"/>
        </w:rPr>
        <w:t xml:space="preserve"> </w:t>
      </w:r>
      <w:r w:rsidR="00BF7125" w:rsidRPr="00DC0382">
        <w:rPr>
          <w:rFonts w:eastAsiaTheme="minorEastAsia"/>
          <w:sz w:val="28"/>
          <w:szCs w:val="28"/>
          <w:lang w:val="en-US" w:eastAsia="zh-CN"/>
        </w:rPr>
        <w:t>which</w:t>
      </w:r>
      <w:r w:rsidRPr="00DC0382">
        <w:rPr>
          <w:rFonts w:eastAsiaTheme="minorEastAsia"/>
          <w:sz w:val="28"/>
          <w:szCs w:val="28"/>
          <w:lang w:val="en-US" w:eastAsia="zh-CN"/>
        </w:rPr>
        <w:t xml:space="preserve"> causes increased </w:t>
      </w:r>
      <w:r w:rsidR="00BF7125" w:rsidRPr="00DC0382">
        <w:rPr>
          <w:rFonts w:eastAsiaTheme="minorEastAsia"/>
          <w:sz w:val="28"/>
          <w:szCs w:val="28"/>
          <w:lang w:val="en-US" w:eastAsia="zh-CN"/>
        </w:rPr>
        <w:t xml:space="preserve">LPS </w:t>
      </w:r>
      <w:r w:rsidRPr="00DC0382">
        <w:rPr>
          <w:rFonts w:eastAsiaTheme="minorEastAsia"/>
          <w:sz w:val="28"/>
          <w:szCs w:val="28"/>
          <w:lang w:val="en-US" w:eastAsia="zh-CN"/>
        </w:rPr>
        <w:t xml:space="preserve">absorption into the systemic </w:t>
      </w:r>
      <w:r w:rsidR="00BF7125" w:rsidRPr="00DC0382">
        <w:rPr>
          <w:rFonts w:eastAsiaTheme="minorEastAsia"/>
          <w:sz w:val="28"/>
          <w:szCs w:val="28"/>
          <w:lang w:val="en-US" w:eastAsia="zh-CN"/>
        </w:rPr>
        <w:t xml:space="preserve">blood flow and systemic </w:t>
      </w:r>
      <w:proofErr w:type="spellStart"/>
      <w:r w:rsidR="00BF7125" w:rsidRPr="00DC0382">
        <w:rPr>
          <w:rFonts w:eastAsiaTheme="minorEastAsia"/>
          <w:sz w:val="28"/>
          <w:szCs w:val="28"/>
          <w:lang w:val="en-US" w:eastAsia="zh-CN"/>
        </w:rPr>
        <w:t>endotoxin</w:t>
      </w:r>
      <w:proofErr w:type="spellEnd"/>
      <w:r w:rsidR="00BF7125" w:rsidRPr="00DC0382">
        <w:rPr>
          <w:rFonts w:eastAsiaTheme="minorEastAsia"/>
          <w:sz w:val="28"/>
          <w:szCs w:val="28"/>
          <w:lang w:val="en-US" w:eastAsia="zh-CN"/>
        </w:rPr>
        <w:t xml:space="preserve"> circulation</w:t>
      </w:r>
      <w:r w:rsidRPr="00DC0382">
        <w:rPr>
          <w:rFonts w:eastAsiaTheme="minorEastAsia"/>
          <w:sz w:val="28"/>
          <w:szCs w:val="28"/>
          <w:lang w:val="en-US" w:eastAsia="zh-CN"/>
        </w:rPr>
        <w:t xml:space="preserve">. Long duration of the inflammatory process causes a gradual depletion of the </w:t>
      </w:r>
      <w:r w:rsidR="00BF7125" w:rsidRPr="00DC0382">
        <w:rPr>
          <w:rFonts w:eastAsiaTheme="minorEastAsia"/>
          <w:sz w:val="28"/>
          <w:szCs w:val="28"/>
          <w:lang w:val="en-US" w:eastAsia="zh-CN"/>
        </w:rPr>
        <w:t xml:space="preserve">organism’s </w:t>
      </w:r>
      <w:r w:rsidRPr="00DC0382">
        <w:rPr>
          <w:rFonts w:eastAsiaTheme="minorEastAsia"/>
          <w:sz w:val="28"/>
          <w:szCs w:val="28"/>
          <w:lang w:val="en-US" w:eastAsia="zh-CN"/>
        </w:rPr>
        <w:t xml:space="preserve">compensatory </w:t>
      </w:r>
      <w:r w:rsidR="00BF7125" w:rsidRPr="00DC0382">
        <w:rPr>
          <w:rFonts w:eastAsiaTheme="minorEastAsia"/>
          <w:sz w:val="28"/>
          <w:szCs w:val="28"/>
          <w:lang w:val="en-US" w:eastAsia="zh-CN"/>
        </w:rPr>
        <w:t>abilities</w:t>
      </w:r>
      <w:r w:rsidRPr="00DC0382">
        <w:rPr>
          <w:rFonts w:eastAsiaTheme="minorEastAsia"/>
          <w:sz w:val="28"/>
          <w:szCs w:val="28"/>
          <w:lang w:val="en-US" w:eastAsia="zh-CN"/>
        </w:rPr>
        <w:t xml:space="preserve"> and the oppression of</w:t>
      </w:r>
      <w:r w:rsidR="00BF7125" w:rsidRPr="00DC0382">
        <w:rPr>
          <w:rFonts w:eastAsiaTheme="minorEastAsia"/>
          <w:sz w:val="28"/>
          <w:szCs w:val="28"/>
          <w:lang w:val="en-US" w:eastAsia="zh-CN"/>
        </w:rPr>
        <w:t xml:space="preserve"> </w:t>
      </w:r>
      <w:proofErr w:type="spellStart"/>
      <w:r w:rsidR="00BF7125" w:rsidRPr="00DC0382">
        <w:rPr>
          <w:rFonts w:eastAsiaTheme="minorEastAsia"/>
          <w:sz w:val="28"/>
          <w:szCs w:val="28"/>
          <w:lang w:val="en-US" w:eastAsia="zh-CN"/>
        </w:rPr>
        <w:t>humoral</w:t>
      </w:r>
      <w:proofErr w:type="spellEnd"/>
      <w:r w:rsidR="00BF7125" w:rsidRPr="00DC0382">
        <w:rPr>
          <w:rFonts w:eastAsiaTheme="minorEastAsia"/>
          <w:sz w:val="28"/>
          <w:szCs w:val="28"/>
          <w:lang w:val="en-US" w:eastAsia="zh-CN"/>
        </w:rPr>
        <w:t xml:space="preserve"> </w:t>
      </w:r>
      <w:proofErr w:type="spellStart"/>
      <w:r w:rsidR="00BF7125" w:rsidRPr="00DC0382">
        <w:rPr>
          <w:rFonts w:eastAsiaTheme="minorEastAsia"/>
          <w:sz w:val="28"/>
          <w:szCs w:val="28"/>
          <w:lang w:val="en-US" w:eastAsia="zh-CN"/>
        </w:rPr>
        <w:t>antiendotoxin</w:t>
      </w:r>
      <w:proofErr w:type="spellEnd"/>
      <w:r w:rsidR="00BF7125" w:rsidRPr="00DC0382">
        <w:rPr>
          <w:rFonts w:eastAsiaTheme="minorEastAsia"/>
          <w:sz w:val="28"/>
          <w:szCs w:val="28"/>
          <w:lang w:val="en-US" w:eastAsia="zh-CN"/>
        </w:rPr>
        <w:t xml:space="preserve"> immunity</w:t>
      </w:r>
      <w:r w:rsidRPr="00DC0382">
        <w:rPr>
          <w:rFonts w:eastAsiaTheme="minorEastAsia"/>
          <w:sz w:val="28"/>
          <w:szCs w:val="28"/>
          <w:lang w:val="en-US" w:eastAsia="zh-CN"/>
        </w:rPr>
        <w:t xml:space="preserve">. </w:t>
      </w:r>
      <w:r w:rsidR="00BF7125" w:rsidRPr="00DC0382">
        <w:rPr>
          <w:rFonts w:eastAsiaTheme="minorEastAsia"/>
          <w:sz w:val="28"/>
          <w:szCs w:val="28"/>
          <w:lang w:val="en-US" w:eastAsia="zh-CN"/>
        </w:rPr>
        <w:t xml:space="preserve">Virulent </w:t>
      </w:r>
      <w:r w:rsidR="00B3231B">
        <w:rPr>
          <w:rFonts w:eastAsiaTheme="minorEastAsia"/>
          <w:sz w:val="28"/>
          <w:szCs w:val="28"/>
          <w:lang w:val="en-US" w:eastAsia="zh-CN"/>
        </w:rPr>
        <w:t xml:space="preserve">Hp </w:t>
      </w:r>
      <w:r w:rsidR="00BF7125" w:rsidRPr="00DC0382">
        <w:rPr>
          <w:rFonts w:eastAsiaTheme="minorEastAsia"/>
          <w:sz w:val="28"/>
          <w:szCs w:val="28"/>
          <w:lang w:val="en-US" w:eastAsia="zh-CN"/>
        </w:rPr>
        <w:t>i</w:t>
      </w:r>
      <w:r w:rsidRPr="00DC0382">
        <w:rPr>
          <w:rFonts w:eastAsiaTheme="minorEastAsia"/>
          <w:sz w:val="28"/>
          <w:szCs w:val="28"/>
          <w:lang w:val="en-US" w:eastAsia="zh-CN"/>
        </w:rPr>
        <w:t>nfection of children with erosive and ulcerative processes in the duoden</w:t>
      </w:r>
      <w:r w:rsidR="00BF7125" w:rsidRPr="00DC0382">
        <w:rPr>
          <w:rFonts w:eastAsiaTheme="minorEastAsia"/>
          <w:sz w:val="28"/>
          <w:szCs w:val="28"/>
          <w:lang w:val="en-US" w:eastAsia="zh-CN"/>
        </w:rPr>
        <w:t>al mucosa</w:t>
      </w:r>
      <w:r w:rsidRPr="00DC0382">
        <w:rPr>
          <w:rFonts w:eastAsiaTheme="minorEastAsia"/>
          <w:sz w:val="28"/>
          <w:szCs w:val="28"/>
          <w:lang w:val="en-US" w:eastAsia="zh-CN"/>
        </w:rPr>
        <w:t xml:space="preserve"> </w:t>
      </w:r>
      <w:r w:rsidR="00BF7125" w:rsidRPr="00DC0382">
        <w:rPr>
          <w:rFonts w:eastAsiaTheme="minorEastAsia"/>
          <w:sz w:val="28"/>
          <w:szCs w:val="28"/>
          <w:lang w:val="en-US" w:eastAsia="zh-CN"/>
        </w:rPr>
        <w:t>leads to a</w:t>
      </w:r>
      <w:r w:rsidRPr="00DC0382">
        <w:rPr>
          <w:rFonts w:eastAsiaTheme="minorEastAsia"/>
          <w:sz w:val="28"/>
          <w:szCs w:val="28"/>
          <w:lang w:val="en-US" w:eastAsia="zh-CN"/>
        </w:rPr>
        <w:t xml:space="preserve"> more </w:t>
      </w:r>
      <w:r w:rsidR="00BF7125" w:rsidRPr="00DC0382">
        <w:rPr>
          <w:rFonts w:eastAsiaTheme="minorEastAsia"/>
          <w:sz w:val="28"/>
          <w:szCs w:val="28"/>
          <w:lang w:val="en-US" w:eastAsia="zh-CN"/>
        </w:rPr>
        <w:t>evident</w:t>
      </w:r>
      <w:r w:rsidRPr="00DC0382">
        <w:rPr>
          <w:rFonts w:eastAsiaTheme="minorEastAsia"/>
          <w:sz w:val="28"/>
          <w:szCs w:val="28"/>
          <w:lang w:val="en-US" w:eastAsia="zh-CN"/>
        </w:rPr>
        <w:t xml:space="preserve"> </w:t>
      </w:r>
      <w:r w:rsidR="00BF7125" w:rsidRPr="00DC0382">
        <w:rPr>
          <w:rFonts w:eastAsiaTheme="minorEastAsia"/>
          <w:sz w:val="28"/>
          <w:szCs w:val="28"/>
          <w:lang w:val="en-US" w:eastAsia="zh-CN"/>
        </w:rPr>
        <w:t>decrease</w:t>
      </w:r>
      <w:r w:rsidRPr="00DC0382">
        <w:rPr>
          <w:rFonts w:eastAsiaTheme="minorEastAsia"/>
          <w:sz w:val="28"/>
          <w:szCs w:val="28"/>
          <w:lang w:val="en-US" w:eastAsia="zh-CN"/>
        </w:rPr>
        <w:t xml:space="preserve"> in </w:t>
      </w:r>
      <w:r w:rsidR="00BF7125" w:rsidRPr="00DC0382">
        <w:rPr>
          <w:rFonts w:eastAsiaTheme="minorEastAsia"/>
          <w:sz w:val="28"/>
          <w:szCs w:val="28"/>
          <w:lang w:val="en-US" w:eastAsia="zh-CN"/>
        </w:rPr>
        <w:t xml:space="preserve">indices of </w:t>
      </w:r>
      <w:proofErr w:type="spellStart"/>
      <w:r w:rsidRPr="00DC0382">
        <w:rPr>
          <w:rFonts w:eastAsiaTheme="minorEastAsia"/>
          <w:sz w:val="28"/>
          <w:szCs w:val="28"/>
          <w:lang w:val="en-US" w:eastAsia="zh-CN"/>
        </w:rPr>
        <w:t>antiendotoxin</w:t>
      </w:r>
      <w:proofErr w:type="spellEnd"/>
      <w:r w:rsidRPr="00DC0382">
        <w:rPr>
          <w:rFonts w:eastAsiaTheme="minorEastAsia"/>
          <w:sz w:val="28"/>
          <w:szCs w:val="28"/>
          <w:lang w:val="en-US" w:eastAsia="zh-CN"/>
        </w:rPr>
        <w:t xml:space="preserve"> </w:t>
      </w:r>
      <w:proofErr w:type="spellStart"/>
      <w:r w:rsidRPr="00DC0382">
        <w:rPr>
          <w:rFonts w:eastAsiaTheme="minorEastAsia"/>
          <w:sz w:val="28"/>
          <w:szCs w:val="28"/>
          <w:lang w:val="en-US" w:eastAsia="zh-CN"/>
        </w:rPr>
        <w:t>humoral</w:t>
      </w:r>
      <w:proofErr w:type="spellEnd"/>
      <w:r w:rsidRPr="00DC0382">
        <w:rPr>
          <w:rFonts w:eastAsiaTheme="minorEastAsia"/>
          <w:sz w:val="28"/>
          <w:szCs w:val="28"/>
          <w:lang w:val="en-US" w:eastAsia="zh-CN"/>
        </w:rPr>
        <w:t xml:space="preserve"> immune protection </w:t>
      </w:r>
      <w:r w:rsidR="00BF7125" w:rsidRPr="00DC0382">
        <w:rPr>
          <w:rFonts w:eastAsiaTheme="minorEastAsia"/>
          <w:sz w:val="28"/>
          <w:szCs w:val="28"/>
          <w:lang w:val="en-US" w:eastAsia="zh-CN"/>
        </w:rPr>
        <w:t>on the background of</w:t>
      </w:r>
      <w:r w:rsidRPr="00DC0382">
        <w:rPr>
          <w:rFonts w:eastAsiaTheme="minorEastAsia"/>
          <w:sz w:val="28"/>
          <w:szCs w:val="28"/>
          <w:lang w:val="en-US" w:eastAsia="zh-CN"/>
        </w:rPr>
        <w:t xml:space="preserve"> increasing </w:t>
      </w:r>
      <w:proofErr w:type="spellStart"/>
      <w:r w:rsidR="00BF7125" w:rsidRPr="00DC0382">
        <w:rPr>
          <w:rFonts w:eastAsiaTheme="minorEastAsia"/>
          <w:sz w:val="28"/>
          <w:szCs w:val="28"/>
          <w:lang w:val="en-US" w:eastAsia="zh-CN"/>
        </w:rPr>
        <w:t>endotoxin</w:t>
      </w:r>
      <w:proofErr w:type="spellEnd"/>
      <w:r w:rsidR="00BF7125" w:rsidRPr="00DC0382">
        <w:rPr>
          <w:rFonts w:eastAsiaTheme="minorEastAsia"/>
          <w:sz w:val="28"/>
          <w:szCs w:val="28"/>
          <w:lang w:val="en-US" w:eastAsia="zh-CN"/>
        </w:rPr>
        <w:t xml:space="preserve"> </w:t>
      </w:r>
      <w:r w:rsidRPr="00DC0382">
        <w:rPr>
          <w:rFonts w:eastAsiaTheme="minorEastAsia"/>
          <w:sz w:val="28"/>
          <w:szCs w:val="28"/>
          <w:lang w:val="en-US" w:eastAsia="zh-CN"/>
        </w:rPr>
        <w:t>concentration in the blood</w:t>
      </w:r>
      <w:r w:rsidR="00BF7125" w:rsidRPr="00DC0382">
        <w:rPr>
          <w:rFonts w:eastAsiaTheme="minorEastAsia"/>
          <w:sz w:val="28"/>
          <w:szCs w:val="28"/>
          <w:lang w:val="en-US" w:eastAsia="zh-CN"/>
        </w:rPr>
        <w:t xml:space="preserve"> serum</w:t>
      </w:r>
      <w:r w:rsidRPr="00DC0382">
        <w:rPr>
          <w:rFonts w:eastAsiaTheme="minorEastAsia"/>
          <w:sz w:val="28"/>
          <w:szCs w:val="28"/>
          <w:lang w:val="en-US" w:eastAsia="zh-CN"/>
        </w:rPr>
        <w:t xml:space="preserve">. </w:t>
      </w:r>
      <w:proofErr w:type="gramStart"/>
      <w:r w:rsidRPr="00DC0382">
        <w:rPr>
          <w:rFonts w:eastAsiaTheme="minorEastAsia"/>
          <w:sz w:val="28"/>
          <w:szCs w:val="28"/>
          <w:lang w:val="en-US" w:eastAsia="zh-CN"/>
        </w:rPr>
        <w:t xml:space="preserve">Described pathological processes burden </w:t>
      </w:r>
      <w:r w:rsidR="00BB6034" w:rsidRPr="00DC0382">
        <w:rPr>
          <w:rFonts w:eastAsiaTheme="minorEastAsia"/>
          <w:sz w:val="28"/>
          <w:szCs w:val="28"/>
          <w:lang w:val="en-US" w:eastAsia="zh-CN"/>
        </w:rPr>
        <w:t>C</w:t>
      </w:r>
      <w:r w:rsidRPr="00DC0382">
        <w:rPr>
          <w:rFonts w:eastAsiaTheme="minorEastAsia"/>
          <w:sz w:val="28"/>
          <w:szCs w:val="28"/>
          <w:lang w:val="en-US" w:eastAsia="zh-CN"/>
        </w:rPr>
        <w:t xml:space="preserve">GDP </w:t>
      </w:r>
      <w:r w:rsidR="00BB6034" w:rsidRPr="00DC0382">
        <w:rPr>
          <w:rFonts w:eastAsiaTheme="minorEastAsia"/>
          <w:sz w:val="28"/>
          <w:szCs w:val="28"/>
          <w:lang w:val="en-US" w:eastAsia="zh-CN"/>
        </w:rPr>
        <w:t>course</w:t>
      </w:r>
      <w:r w:rsidRPr="00DC0382">
        <w:rPr>
          <w:rFonts w:eastAsiaTheme="minorEastAsia"/>
          <w:sz w:val="28"/>
          <w:szCs w:val="28"/>
          <w:lang w:val="en-US" w:eastAsia="zh-CN"/>
        </w:rPr>
        <w:t xml:space="preserve">, </w:t>
      </w:r>
      <w:r w:rsidR="00BB6034" w:rsidRPr="00DC0382">
        <w:rPr>
          <w:rFonts w:eastAsiaTheme="minorEastAsia"/>
          <w:sz w:val="28"/>
          <w:szCs w:val="28"/>
          <w:lang w:val="en-US" w:eastAsia="zh-CN"/>
        </w:rPr>
        <w:t>contributing to its progression</w:t>
      </w:r>
      <w:r w:rsidRPr="00DC0382">
        <w:rPr>
          <w:rFonts w:eastAsiaTheme="minorEastAsia"/>
          <w:sz w:val="28"/>
          <w:szCs w:val="28"/>
          <w:lang w:val="en-US" w:eastAsia="zh-CN"/>
        </w:rPr>
        <w:t xml:space="preserve">, which should be considered </w:t>
      </w:r>
      <w:r w:rsidR="00BB6034" w:rsidRPr="00DC0382">
        <w:rPr>
          <w:rFonts w:eastAsiaTheme="minorEastAsia"/>
          <w:sz w:val="28"/>
          <w:szCs w:val="28"/>
          <w:lang w:val="en-US" w:eastAsia="zh-CN"/>
        </w:rPr>
        <w:t>upon</w:t>
      </w:r>
      <w:r w:rsidRPr="00DC0382">
        <w:rPr>
          <w:rFonts w:eastAsiaTheme="minorEastAsia"/>
          <w:sz w:val="28"/>
          <w:szCs w:val="28"/>
          <w:lang w:val="en-US" w:eastAsia="zh-CN"/>
        </w:rPr>
        <w:t xml:space="preserve"> the treatment of these patients.</w:t>
      </w:r>
      <w:proofErr w:type="gramEnd"/>
      <w:r w:rsidR="00BC7970" w:rsidRPr="00DC0382">
        <w:rPr>
          <w:rFonts w:eastAsiaTheme="minorEastAsia"/>
          <w:sz w:val="28"/>
          <w:szCs w:val="28"/>
          <w:lang w:val="en-US" w:eastAsia="zh-CN"/>
        </w:rPr>
        <w:br w:type="page"/>
      </w:r>
    </w:p>
    <w:p w:rsidR="00BC7970" w:rsidRPr="00DC0382" w:rsidRDefault="00955590" w:rsidP="00BC7970">
      <w:pPr>
        <w:spacing w:after="0" w:line="360" w:lineRule="auto"/>
        <w:jc w:val="center"/>
        <w:rPr>
          <w:rFonts w:eastAsiaTheme="minorEastAsia"/>
          <w:b/>
          <w:sz w:val="28"/>
          <w:szCs w:val="28"/>
          <w:lang w:val="en-US" w:eastAsia="zh-CN"/>
        </w:rPr>
      </w:pPr>
      <w:r w:rsidRPr="00DC0382">
        <w:rPr>
          <w:rFonts w:eastAsiaTheme="minorEastAsia"/>
          <w:b/>
          <w:sz w:val="28"/>
          <w:szCs w:val="28"/>
          <w:lang w:val="en-US" w:eastAsia="zh-CN"/>
        </w:rPr>
        <w:lastRenderedPageBreak/>
        <w:t>References</w:t>
      </w:r>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eastAsia="zh-CN"/>
        </w:rPr>
      </w:pPr>
      <w:bookmarkStart w:id="0" w:name="_Ref381462373"/>
      <w:r w:rsidRPr="00DC0382">
        <w:rPr>
          <w:rFonts w:eastAsiaTheme="minorEastAsia"/>
          <w:sz w:val="28"/>
          <w:szCs w:val="28"/>
          <w:lang w:eastAsia="zh-CN"/>
        </w:rPr>
        <w:t>Барышникова Н. В. Актуальные проблемы д</w:t>
      </w:r>
      <w:r w:rsidR="007B332A" w:rsidRPr="00DC0382">
        <w:rPr>
          <w:rFonts w:eastAsiaTheme="minorEastAsia"/>
          <w:sz w:val="28"/>
          <w:szCs w:val="28"/>
          <w:lang w:eastAsia="zh-CN"/>
        </w:rPr>
        <w:t>и</w:t>
      </w:r>
      <w:r w:rsidRPr="00DC0382">
        <w:rPr>
          <w:rFonts w:eastAsiaTheme="minorEastAsia"/>
          <w:sz w:val="28"/>
          <w:szCs w:val="28"/>
          <w:lang w:eastAsia="zh-CN"/>
        </w:rPr>
        <w:t xml:space="preserve">агностики </w:t>
      </w:r>
      <w:proofErr w:type="spellStart"/>
      <w:r w:rsidRPr="00DC0382">
        <w:rPr>
          <w:rFonts w:eastAsiaTheme="minorEastAsia"/>
          <w:sz w:val="28"/>
          <w:szCs w:val="28"/>
          <w:lang w:eastAsia="zh-CN"/>
        </w:rPr>
        <w:t>хеликобактериоза</w:t>
      </w:r>
      <w:proofErr w:type="spellEnd"/>
      <w:r w:rsidRPr="00DC0382">
        <w:rPr>
          <w:rFonts w:eastAsiaTheme="minorEastAsia"/>
          <w:sz w:val="28"/>
          <w:szCs w:val="28"/>
          <w:lang w:eastAsia="zh-CN"/>
        </w:rPr>
        <w:t xml:space="preserve"> / Н.</w:t>
      </w:r>
      <w:r w:rsidR="007B332A" w:rsidRPr="00DC0382">
        <w:rPr>
          <w:rFonts w:eastAsiaTheme="minorEastAsia"/>
          <w:sz w:val="28"/>
          <w:szCs w:val="28"/>
          <w:lang w:eastAsia="zh-CN"/>
        </w:rPr>
        <w:t xml:space="preserve"> </w:t>
      </w:r>
      <w:r w:rsidRPr="00DC0382">
        <w:rPr>
          <w:rFonts w:eastAsiaTheme="minorEastAsia"/>
          <w:sz w:val="28"/>
          <w:szCs w:val="28"/>
          <w:lang w:eastAsia="zh-CN"/>
        </w:rPr>
        <w:t xml:space="preserve">В. Барышникова // </w:t>
      </w:r>
      <w:proofErr w:type="spellStart"/>
      <w:r w:rsidRPr="00DC0382">
        <w:rPr>
          <w:rFonts w:eastAsiaTheme="minorEastAsia"/>
          <w:sz w:val="28"/>
          <w:szCs w:val="28"/>
          <w:lang w:eastAsia="zh-CN"/>
        </w:rPr>
        <w:t>Экперим</w:t>
      </w:r>
      <w:proofErr w:type="spellEnd"/>
      <w:r w:rsidR="007B332A" w:rsidRPr="00DC0382">
        <w:rPr>
          <w:rFonts w:eastAsiaTheme="minorEastAsia"/>
          <w:sz w:val="28"/>
          <w:szCs w:val="28"/>
          <w:lang w:eastAsia="zh-CN"/>
        </w:rPr>
        <w:t>.</w:t>
      </w:r>
      <w:r w:rsidRPr="00DC0382">
        <w:rPr>
          <w:rFonts w:eastAsiaTheme="minorEastAsia"/>
          <w:sz w:val="28"/>
          <w:szCs w:val="28"/>
          <w:lang w:eastAsia="zh-CN"/>
        </w:rPr>
        <w:t xml:space="preserve"> и клин</w:t>
      </w:r>
      <w:proofErr w:type="gramStart"/>
      <w:r w:rsidR="007B332A" w:rsidRPr="00DC0382">
        <w:rPr>
          <w:rFonts w:eastAsiaTheme="minorEastAsia"/>
          <w:sz w:val="28"/>
          <w:szCs w:val="28"/>
          <w:lang w:eastAsia="zh-CN"/>
        </w:rPr>
        <w:t>.</w:t>
      </w:r>
      <w:proofErr w:type="gramEnd"/>
      <w:r w:rsidR="007B332A" w:rsidRPr="00DC0382">
        <w:rPr>
          <w:rFonts w:eastAsiaTheme="minorEastAsia"/>
          <w:sz w:val="28"/>
          <w:szCs w:val="28"/>
          <w:lang w:eastAsia="zh-CN"/>
        </w:rPr>
        <w:t xml:space="preserve"> </w:t>
      </w:r>
      <w:proofErr w:type="gramStart"/>
      <w:r w:rsidRPr="00DC0382">
        <w:rPr>
          <w:rFonts w:eastAsiaTheme="minorEastAsia"/>
          <w:sz w:val="28"/>
          <w:szCs w:val="28"/>
          <w:lang w:eastAsia="zh-CN"/>
        </w:rPr>
        <w:t>г</w:t>
      </w:r>
      <w:proofErr w:type="gramEnd"/>
      <w:r w:rsidRPr="00DC0382">
        <w:rPr>
          <w:rFonts w:eastAsiaTheme="minorEastAsia"/>
          <w:sz w:val="28"/>
          <w:szCs w:val="28"/>
          <w:lang w:eastAsia="zh-CN"/>
        </w:rPr>
        <w:t>астроэнтерология.</w:t>
      </w:r>
      <w:r w:rsidR="007B332A" w:rsidRPr="00DC0382">
        <w:rPr>
          <w:rFonts w:eastAsiaTheme="minorEastAsia"/>
          <w:sz w:val="28"/>
          <w:szCs w:val="28"/>
          <w:lang w:eastAsia="zh-CN"/>
        </w:rPr>
        <w:t xml:space="preserve"> ― </w:t>
      </w:r>
      <w:r w:rsidRPr="00DC0382">
        <w:rPr>
          <w:rFonts w:eastAsiaTheme="minorEastAsia"/>
          <w:sz w:val="28"/>
          <w:szCs w:val="28"/>
          <w:lang w:eastAsia="zh-CN"/>
        </w:rPr>
        <w:t>2009.</w:t>
      </w:r>
      <w:r w:rsidR="007B332A" w:rsidRPr="00DC0382">
        <w:rPr>
          <w:rFonts w:eastAsiaTheme="minorEastAsia"/>
          <w:sz w:val="28"/>
          <w:szCs w:val="28"/>
          <w:lang w:eastAsia="zh-CN"/>
        </w:rPr>
        <w:t xml:space="preserve"> ― </w:t>
      </w:r>
      <w:r w:rsidRPr="00DC0382">
        <w:rPr>
          <w:rFonts w:eastAsiaTheme="minorEastAsia"/>
          <w:sz w:val="28"/>
          <w:szCs w:val="28"/>
          <w:lang w:eastAsia="zh-CN"/>
        </w:rPr>
        <w:t>№ 2.</w:t>
      </w:r>
      <w:r w:rsidR="007B332A" w:rsidRPr="00DC0382">
        <w:rPr>
          <w:rFonts w:eastAsiaTheme="minorEastAsia"/>
          <w:sz w:val="28"/>
          <w:szCs w:val="28"/>
          <w:lang w:eastAsia="zh-CN"/>
        </w:rPr>
        <w:t xml:space="preserve"> ― </w:t>
      </w:r>
      <w:r w:rsidRPr="00DC0382">
        <w:rPr>
          <w:rFonts w:eastAsiaTheme="minorEastAsia"/>
          <w:sz w:val="28"/>
          <w:szCs w:val="28"/>
          <w:lang w:eastAsia="zh-CN"/>
        </w:rPr>
        <w:t>С.</w:t>
      </w:r>
      <w:r w:rsidR="001C20A4" w:rsidRPr="00DC0382">
        <w:rPr>
          <w:rFonts w:eastAsiaTheme="minorEastAsia"/>
          <w:sz w:val="28"/>
          <w:szCs w:val="28"/>
          <w:lang w:eastAsia="zh-CN"/>
        </w:rPr>
        <w:t xml:space="preserve"> </w:t>
      </w:r>
      <w:r w:rsidRPr="00DC0382">
        <w:rPr>
          <w:rFonts w:eastAsiaTheme="minorEastAsia"/>
          <w:sz w:val="28"/>
          <w:szCs w:val="28"/>
          <w:lang w:eastAsia="zh-CN"/>
        </w:rPr>
        <w:t>50</w:t>
      </w:r>
      <w:r w:rsidR="007B332A" w:rsidRPr="00DC0382">
        <w:rPr>
          <w:rFonts w:eastAsiaTheme="minorEastAsia"/>
          <w:sz w:val="28"/>
          <w:szCs w:val="28"/>
          <w:lang w:eastAsia="zh-CN"/>
        </w:rPr>
        <w:t>–</w:t>
      </w:r>
      <w:r w:rsidRPr="00DC0382">
        <w:rPr>
          <w:rFonts w:eastAsiaTheme="minorEastAsia"/>
          <w:sz w:val="28"/>
          <w:szCs w:val="28"/>
          <w:lang w:eastAsia="zh-CN"/>
        </w:rPr>
        <w:t>56.</w:t>
      </w:r>
      <w:bookmarkEnd w:id="0"/>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eastAsia="zh-CN"/>
        </w:rPr>
      </w:pPr>
      <w:bookmarkStart w:id="1" w:name="_Ref381466989"/>
      <w:r w:rsidRPr="00DC0382">
        <w:rPr>
          <w:rFonts w:eastAsiaTheme="minorEastAsia"/>
          <w:sz w:val="28"/>
          <w:szCs w:val="28"/>
          <w:lang w:eastAsia="zh-CN"/>
        </w:rPr>
        <w:t>Барышникова Н.</w:t>
      </w:r>
      <w:r w:rsidR="001C20A4" w:rsidRPr="00DC0382">
        <w:rPr>
          <w:rFonts w:eastAsiaTheme="minorEastAsia"/>
          <w:sz w:val="28"/>
          <w:szCs w:val="28"/>
          <w:lang w:eastAsia="zh-CN"/>
        </w:rPr>
        <w:t xml:space="preserve"> </w:t>
      </w:r>
      <w:r w:rsidRPr="00DC0382">
        <w:rPr>
          <w:rFonts w:eastAsiaTheme="minorEastAsia"/>
          <w:sz w:val="28"/>
          <w:szCs w:val="28"/>
          <w:lang w:eastAsia="zh-CN"/>
        </w:rPr>
        <w:t>В. Коррекция</w:t>
      </w:r>
      <w:r w:rsidR="001C20A4" w:rsidRPr="00DC0382">
        <w:rPr>
          <w:rFonts w:eastAsiaTheme="minorEastAsia"/>
          <w:sz w:val="28"/>
          <w:szCs w:val="28"/>
          <w:lang w:eastAsia="zh-CN"/>
        </w:rPr>
        <w:t xml:space="preserve"> </w:t>
      </w:r>
      <w:r w:rsidRPr="00DC0382">
        <w:rPr>
          <w:rFonts w:eastAsiaTheme="minorEastAsia"/>
          <w:sz w:val="28"/>
          <w:szCs w:val="28"/>
          <w:lang w:eastAsia="zh-CN"/>
        </w:rPr>
        <w:t>нарушений</w:t>
      </w:r>
      <w:r w:rsidR="001C20A4" w:rsidRPr="00DC0382">
        <w:rPr>
          <w:rFonts w:eastAsiaTheme="minorEastAsia"/>
          <w:sz w:val="28"/>
          <w:szCs w:val="28"/>
          <w:lang w:eastAsia="zh-CN"/>
        </w:rPr>
        <w:t xml:space="preserve"> </w:t>
      </w:r>
      <w:proofErr w:type="spellStart"/>
      <w:r w:rsidRPr="00DC0382">
        <w:rPr>
          <w:rFonts w:eastAsiaTheme="minorEastAsia"/>
          <w:sz w:val="28"/>
          <w:szCs w:val="28"/>
          <w:lang w:eastAsia="zh-CN"/>
        </w:rPr>
        <w:t>микробиоценоза</w:t>
      </w:r>
      <w:proofErr w:type="spellEnd"/>
      <w:r w:rsidR="001C20A4" w:rsidRPr="00DC0382">
        <w:rPr>
          <w:rFonts w:eastAsiaTheme="minorEastAsia"/>
          <w:sz w:val="28"/>
          <w:szCs w:val="28"/>
          <w:lang w:eastAsia="zh-CN"/>
        </w:rPr>
        <w:t xml:space="preserve"> </w:t>
      </w:r>
      <w:r w:rsidRPr="00DC0382">
        <w:rPr>
          <w:rFonts w:eastAsiaTheme="minorEastAsia"/>
          <w:sz w:val="28"/>
          <w:szCs w:val="28"/>
          <w:lang w:eastAsia="zh-CN"/>
        </w:rPr>
        <w:t>кишечника у больных</w:t>
      </w:r>
      <w:r w:rsidR="001C20A4" w:rsidRPr="00DC0382">
        <w:rPr>
          <w:rFonts w:eastAsiaTheme="minorEastAsia"/>
          <w:sz w:val="28"/>
          <w:szCs w:val="28"/>
          <w:lang w:eastAsia="zh-CN"/>
        </w:rPr>
        <w:t xml:space="preserve"> </w:t>
      </w:r>
      <w:r w:rsidRPr="00DC0382">
        <w:rPr>
          <w:rFonts w:eastAsiaTheme="minorEastAsia"/>
          <w:sz w:val="28"/>
          <w:szCs w:val="28"/>
          <w:lang w:eastAsia="zh-CN"/>
        </w:rPr>
        <w:t>хроническим</w:t>
      </w:r>
      <w:r w:rsidR="001C20A4" w:rsidRPr="00DC0382">
        <w:rPr>
          <w:rFonts w:eastAsiaTheme="minorEastAsia"/>
          <w:sz w:val="28"/>
          <w:szCs w:val="28"/>
          <w:lang w:eastAsia="zh-CN"/>
        </w:rPr>
        <w:t xml:space="preserve"> </w:t>
      </w:r>
      <w:r w:rsidRPr="00DC0382">
        <w:rPr>
          <w:rFonts w:eastAsiaTheme="minorEastAsia"/>
          <w:sz w:val="28"/>
          <w:szCs w:val="28"/>
          <w:lang w:eastAsia="zh-CN"/>
        </w:rPr>
        <w:t xml:space="preserve">гастродуоденитом, </w:t>
      </w:r>
      <w:proofErr w:type="spellStart"/>
      <w:r w:rsidRPr="00DC0382">
        <w:rPr>
          <w:rFonts w:eastAsiaTheme="minorEastAsia"/>
          <w:sz w:val="28"/>
          <w:szCs w:val="28"/>
          <w:lang w:eastAsia="zh-CN"/>
        </w:rPr>
        <w:t>ассоциированым</w:t>
      </w:r>
      <w:proofErr w:type="spellEnd"/>
      <w:r w:rsidRPr="00DC0382">
        <w:rPr>
          <w:rFonts w:eastAsiaTheme="minorEastAsia"/>
          <w:sz w:val="28"/>
          <w:szCs w:val="28"/>
          <w:lang w:eastAsia="zh-CN"/>
        </w:rPr>
        <w:t xml:space="preserve"> с </w:t>
      </w:r>
      <w:proofErr w:type="spellStart"/>
      <w:r w:rsidRPr="00DC0382">
        <w:rPr>
          <w:rFonts w:eastAsiaTheme="minorEastAsia"/>
          <w:sz w:val="28"/>
          <w:szCs w:val="28"/>
          <w:lang w:eastAsia="zh-CN"/>
        </w:rPr>
        <w:t>Helicobacter</w:t>
      </w:r>
      <w:proofErr w:type="spellEnd"/>
      <w:r w:rsidR="001C20A4" w:rsidRPr="00DC0382">
        <w:rPr>
          <w:rFonts w:eastAsiaTheme="minorEastAsia"/>
          <w:sz w:val="28"/>
          <w:szCs w:val="28"/>
          <w:lang w:eastAsia="zh-CN"/>
        </w:rPr>
        <w:t xml:space="preserve"> </w:t>
      </w:r>
      <w:proofErr w:type="spellStart"/>
      <w:r w:rsidRPr="00DC0382">
        <w:rPr>
          <w:rFonts w:eastAsiaTheme="minorEastAsia"/>
          <w:sz w:val="28"/>
          <w:szCs w:val="28"/>
          <w:lang w:eastAsia="zh-CN"/>
        </w:rPr>
        <w:t>pylori</w:t>
      </w:r>
      <w:proofErr w:type="spellEnd"/>
      <w:r w:rsidRPr="00DC0382">
        <w:rPr>
          <w:rFonts w:eastAsiaTheme="minorEastAsia"/>
          <w:sz w:val="28"/>
          <w:szCs w:val="28"/>
          <w:lang w:eastAsia="zh-CN"/>
        </w:rPr>
        <w:t xml:space="preserve"> / Н.</w:t>
      </w:r>
      <w:r w:rsidR="001C20A4" w:rsidRPr="00DC0382">
        <w:rPr>
          <w:rFonts w:eastAsiaTheme="minorEastAsia"/>
          <w:sz w:val="28"/>
          <w:szCs w:val="28"/>
          <w:lang w:eastAsia="zh-CN"/>
        </w:rPr>
        <w:t xml:space="preserve"> </w:t>
      </w:r>
      <w:r w:rsidRPr="00DC0382">
        <w:rPr>
          <w:rFonts w:eastAsiaTheme="minorEastAsia"/>
          <w:sz w:val="28"/>
          <w:szCs w:val="28"/>
          <w:lang w:eastAsia="zh-CN"/>
        </w:rPr>
        <w:t xml:space="preserve">В. Барышникова // </w:t>
      </w:r>
      <w:proofErr w:type="spellStart"/>
      <w:r w:rsidRPr="00DC0382">
        <w:rPr>
          <w:rFonts w:eastAsiaTheme="minorEastAsia"/>
          <w:sz w:val="28"/>
          <w:szCs w:val="28"/>
          <w:lang w:eastAsia="zh-CN"/>
        </w:rPr>
        <w:t>Эксперим</w:t>
      </w:r>
      <w:proofErr w:type="spellEnd"/>
      <w:r w:rsidR="001C20A4" w:rsidRPr="00DC0382">
        <w:rPr>
          <w:rFonts w:eastAsiaTheme="minorEastAsia"/>
          <w:sz w:val="28"/>
          <w:szCs w:val="28"/>
          <w:lang w:eastAsia="zh-CN"/>
        </w:rPr>
        <w:t>.</w:t>
      </w:r>
      <w:r w:rsidRPr="00DC0382">
        <w:rPr>
          <w:rFonts w:eastAsiaTheme="minorEastAsia"/>
          <w:sz w:val="28"/>
          <w:szCs w:val="28"/>
          <w:lang w:eastAsia="zh-CN"/>
        </w:rPr>
        <w:t xml:space="preserve"> и клин</w:t>
      </w:r>
      <w:proofErr w:type="gramStart"/>
      <w:r w:rsidR="001C20A4" w:rsidRPr="00DC0382">
        <w:rPr>
          <w:rFonts w:eastAsiaTheme="minorEastAsia"/>
          <w:sz w:val="28"/>
          <w:szCs w:val="28"/>
          <w:lang w:eastAsia="zh-CN"/>
        </w:rPr>
        <w:t>.</w:t>
      </w:r>
      <w:proofErr w:type="gramEnd"/>
      <w:r w:rsidR="001C20A4" w:rsidRPr="00DC0382">
        <w:rPr>
          <w:rFonts w:eastAsiaTheme="minorEastAsia"/>
          <w:sz w:val="28"/>
          <w:szCs w:val="28"/>
          <w:lang w:eastAsia="zh-CN"/>
        </w:rPr>
        <w:t xml:space="preserve"> </w:t>
      </w:r>
      <w:proofErr w:type="gramStart"/>
      <w:r w:rsidRPr="00DC0382">
        <w:rPr>
          <w:rFonts w:eastAsiaTheme="minorEastAsia"/>
          <w:sz w:val="28"/>
          <w:szCs w:val="28"/>
          <w:lang w:eastAsia="zh-CN"/>
        </w:rPr>
        <w:t>г</w:t>
      </w:r>
      <w:proofErr w:type="gramEnd"/>
      <w:r w:rsidRPr="00DC0382">
        <w:rPr>
          <w:rFonts w:eastAsiaTheme="minorEastAsia"/>
          <w:sz w:val="28"/>
          <w:szCs w:val="28"/>
          <w:lang w:eastAsia="zh-CN"/>
        </w:rPr>
        <w:t>астроэнтерология.</w:t>
      </w:r>
      <w:r w:rsidR="007B332A" w:rsidRPr="00DC0382">
        <w:rPr>
          <w:rFonts w:eastAsiaTheme="minorEastAsia"/>
          <w:sz w:val="28"/>
          <w:szCs w:val="28"/>
          <w:lang w:eastAsia="zh-CN"/>
        </w:rPr>
        <w:t xml:space="preserve"> ― </w:t>
      </w:r>
      <w:r w:rsidRPr="00DC0382">
        <w:rPr>
          <w:rFonts w:eastAsiaTheme="minorEastAsia"/>
          <w:sz w:val="28"/>
          <w:szCs w:val="28"/>
          <w:lang w:eastAsia="zh-CN"/>
        </w:rPr>
        <w:t>2008.</w:t>
      </w:r>
      <w:r w:rsidR="007B332A" w:rsidRPr="00DC0382">
        <w:rPr>
          <w:rFonts w:eastAsiaTheme="minorEastAsia"/>
          <w:sz w:val="28"/>
          <w:szCs w:val="28"/>
          <w:lang w:eastAsia="zh-CN"/>
        </w:rPr>
        <w:t xml:space="preserve"> ― </w:t>
      </w:r>
      <w:r w:rsidRPr="00DC0382">
        <w:rPr>
          <w:rFonts w:eastAsiaTheme="minorEastAsia"/>
          <w:sz w:val="28"/>
          <w:szCs w:val="28"/>
          <w:lang w:eastAsia="zh-CN"/>
        </w:rPr>
        <w:t>№ 8.</w:t>
      </w:r>
      <w:r w:rsidR="007B332A" w:rsidRPr="00DC0382">
        <w:rPr>
          <w:rFonts w:eastAsiaTheme="minorEastAsia"/>
          <w:sz w:val="28"/>
          <w:szCs w:val="28"/>
          <w:lang w:eastAsia="zh-CN"/>
        </w:rPr>
        <w:t xml:space="preserve"> ― </w:t>
      </w:r>
      <w:r w:rsidRPr="00DC0382">
        <w:rPr>
          <w:rFonts w:eastAsiaTheme="minorEastAsia"/>
          <w:sz w:val="28"/>
          <w:szCs w:val="28"/>
          <w:lang w:eastAsia="zh-CN"/>
        </w:rPr>
        <w:t>С. 94</w:t>
      </w:r>
      <w:r w:rsidR="007B332A" w:rsidRPr="00DC0382">
        <w:rPr>
          <w:rFonts w:eastAsiaTheme="minorEastAsia"/>
          <w:sz w:val="28"/>
          <w:szCs w:val="28"/>
          <w:lang w:eastAsia="zh-CN"/>
        </w:rPr>
        <w:t>–</w:t>
      </w:r>
      <w:r w:rsidRPr="00DC0382">
        <w:rPr>
          <w:rFonts w:eastAsiaTheme="minorEastAsia"/>
          <w:sz w:val="28"/>
          <w:szCs w:val="28"/>
          <w:lang w:eastAsia="zh-CN"/>
        </w:rPr>
        <w:t>101.</w:t>
      </w:r>
      <w:bookmarkEnd w:id="1"/>
      <w:r w:rsidRPr="00DC0382">
        <w:rPr>
          <w:rFonts w:eastAsiaTheme="minorEastAsia"/>
          <w:sz w:val="28"/>
          <w:szCs w:val="28"/>
          <w:lang w:eastAsia="zh-CN"/>
        </w:rPr>
        <w:t xml:space="preserve"> </w:t>
      </w:r>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eastAsia="zh-CN"/>
        </w:rPr>
      </w:pPr>
      <w:bookmarkStart w:id="2" w:name="_Ref381467038"/>
      <w:r w:rsidRPr="00DC0382">
        <w:rPr>
          <w:rFonts w:eastAsiaTheme="minorEastAsia"/>
          <w:sz w:val="28"/>
          <w:szCs w:val="28"/>
          <w:lang w:eastAsia="zh-CN"/>
        </w:rPr>
        <w:t>Белоусова Е.</w:t>
      </w:r>
      <w:r w:rsidR="001C20A4" w:rsidRPr="00DC0382">
        <w:rPr>
          <w:rFonts w:eastAsiaTheme="minorEastAsia"/>
          <w:sz w:val="28"/>
          <w:szCs w:val="28"/>
          <w:lang w:eastAsia="zh-CN"/>
        </w:rPr>
        <w:t xml:space="preserve"> </w:t>
      </w:r>
      <w:r w:rsidRPr="00DC0382">
        <w:rPr>
          <w:rFonts w:eastAsiaTheme="minorEastAsia"/>
          <w:sz w:val="28"/>
          <w:szCs w:val="28"/>
          <w:lang w:eastAsia="zh-CN"/>
        </w:rPr>
        <w:t>А. Синдром избыточного</w:t>
      </w:r>
      <w:r w:rsidR="001C20A4" w:rsidRPr="00DC0382">
        <w:rPr>
          <w:rFonts w:eastAsiaTheme="minorEastAsia"/>
          <w:sz w:val="28"/>
          <w:szCs w:val="28"/>
          <w:lang w:eastAsia="zh-CN"/>
        </w:rPr>
        <w:t xml:space="preserve"> </w:t>
      </w:r>
      <w:r w:rsidRPr="00DC0382">
        <w:rPr>
          <w:rFonts w:eastAsiaTheme="minorEastAsia"/>
          <w:sz w:val="28"/>
          <w:szCs w:val="28"/>
          <w:lang w:eastAsia="zh-CN"/>
        </w:rPr>
        <w:t>бактериального</w:t>
      </w:r>
      <w:r w:rsidR="001C20A4" w:rsidRPr="00DC0382">
        <w:rPr>
          <w:rFonts w:eastAsiaTheme="minorEastAsia"/>
          <w:sz w:val="28"/>
          <w:szCs w:val="28"/>
          <w:lang w:eastAsia="zh-CN"/>
        </w:rPr>
        <w:t xml:space="preserve"> </w:t>
      </w:r>
      <w:r w:rsidRPr="00DC0382">
        <w:rPr>
          <w:rFonts w:eastAsiaTheme="minorEastAsia"/>
          <w:sz w:val="28"/>
          <w:szCs w:val="28"/>
          <w:lang w:eastAsia="zh-CN"/>
        </w:rPr>
        <w:t>роста в тонкой</w:t>
      </w:r>
      <w:r w:rsidR="001C20A4" w:rsidRPr="00DC0382">
        <w:rPr>
          <w:rFonts w:eastAsiaTheme="minorEastAsia"/>
          <w:sz w:val="28"/>
          <w:szCs w:val="28"/>
          <w:lang w:eastAsia="zh-CN"/>
        </w:rPr>
        <w:t xml:space="preserve"> </w:t>
      </w:r>
      <w:r w:rsidRPr="00DC0382">
        <w:rPr>
          <w:rFonts w:eastAsiaTheme="minorEastAsia"/>
          <w:sz w:val="28"/>
          <w:szCs w:val="28"/>
          <w:lang w:eastAsia="zh-CN"/>
        </w:rPr>
        <w:t>кишке в свете</w:t>
      </w:r>
      <w:r w:rsidR="001C20A4" w:rsidRPr="00DC0382">
        <w:rPr>
          <w:rFonts w:eastAsiaTheme="minorEastAsia"/>
          <w:sz w:val="28"/>
          <w:szCs w:val="28"/>
          <w:lang w:eastAsia="zh-CN"/>
        </w:rPr>
        <w:t xml:space="preserve"> </w:t>
      </w:r>
      <w:r w:rsidRPr="00DC0382">
        <w:rPr>
          <w:rFonts w:eastAsiaTheme="minorEastAsia"/>
          <w:sz w:val="28"/>
          <w:szCs w:val="28"/>
          <w:lang w:eastAsia="zh-CN"/>
        </w:rPr>
        <w:t>общей</w:t>
      </w:r>
      <w:r w:rsidR="001C20A4" w:rsidRPr="00DC0382">
        <w:rPr>
          <w:rFonts w:eastAsiaTheme="minorEastAsia"/>
          <w:sz w:val="28"/>
          <w:szCs w:val="28"/>
          <w:lang w:eastAsia="zh-CN"/>
        </w:rPr>
        <w:t xml:space="preserve"> </w:t>
      </w:r>
      <w:r w:rsidRPr="00DC0382">
        <w:rPr>
          <w:rFonts w:eastAsiaTheme="minorEastAsia"/>
          <w:sz w:val="28"/>
          <w:szCs w:val="28"/>
          <w:lang w:eastAsia="zh-CN"/>
        </w:rPr>
        <w:t xml:space="preserve">концепции о </w:t>
      </w:r>
      <w:proofErr w:type="spellStart"/>
      <w:r w:rsidRPr="00DC0382">
        <w:rPr>
          <w:rFonts w:eastAsiaTheme="minorEastAsia"/>
          <w:sz w:val="28"/>
          <w:szCs w:val="28"/>
          <w:lang w:eastAsia="zh-CN"/>
        </w:rPr>
        <w:t>дисбактериозе</w:t>
      </w:r>
      <w:proofErr w:type="spellEnd"/>
      <w:r w:rsidR="001C20A4" w:rsidRPr="00DC0382">
        <w:rPr>
          <w:rFonts w:eastAsiaTheme="minorEastAsia"/>
          <w:sz w:val="28"/>
          <w:szCs w:val="28"/>
          <w:lang w:eastAsia="zh-CN"/>
        </w:rPr>
        <w:t xml:space="preserve"> </w:t>
      </w:r>
      <w:r w:rsidRPr="00DC0382">
        <w:rPr>
          <w:rFonts w:eastAsiaTheme="minorEastAsia"/>
          <w:sz w:val="28"/>
          <w:szCs w:val="28"/>
          <w:lang w:eastAsia="zh-CN"/>
        </w:rPr>
        <w:t>кишечника: взгляд на проблему / Е.</w:t>
      </w:r>
      <w:r w:rsidR="001C20A4" w:rsidRPr="00DC0382">
        <w:rPr>
          <w:rFonts w:eastAsiaTheme="minorEastAsia"/>
          <w:sz w:val="28"/>
          <w:szCs w:val="28"/>
          <w:lang w:eastAsia="zh-CN"/>
        </w:rPr>
        <w:t xml:space="preserve"> </w:t>
      </w:r>
      <w:r w:rsidRPr="00DC0382">
        <w:rPr>
          <w:rFonts w:eastAsiaTheme="minorEastAsia"/>
          <w:sz w:val="28"/>
          <w:szCs w:val="28"/>
          <w:lang w:eastAsia="zh-CN"/>
        </w:rPr>
        <w:t xml:space="preserve">А. Белоусова // </w:t>
      </w:r>
      <w:proofErr w:type="spellStart"/>
      <w:r w:rsidRPr="00DC0382">
        <w:rPr>
          <w:rFonts w:eastAsiaTheme="minorEastAsia"/>
          <w:sz w:val="28"/>
          <w:szCs w:val="28"/>
          <w:lang w:eastAsia="zh-CN"/>
        </w:rPr>
        <w:t>Фарматека</w:t>
      </w:r>
      <w:proofErr w:type="spellEnd"/>
      <w:r w:rsidRPr="00DC0382">
        <w:rPr>
          <w:rFonts w:eastAsiaTheme="minorEastAsia"/>
          <w:sz w:val="28"/>
          <w:szCs w:val="28"/>
          <w:lang w:eastAsia="zh-CN"/>
        </w:rPr>
        <w:t>.</w:t>
      </w:r>
      <w:r w:rsidR="007B332A" w:rsidRPr="00DC0382">
        <w:rPr>
          <w:rFonts w:eastAsiaTheme="minorEastAsia"/>
          <w:sz w:val="28"/>
          <w:szCs w:val="28"/>
          <w:lang w:eastAsia="zh-CN"/>
        </w:rPr>
        <w:t xml:space="preserve"> ― </w:t>
      </w:r>
      <w:r w:rsidRPr="00DC0382">
        <w:rPr>
          <w:rFonts w:eastAsiaTheme="minorEastAsia"/>
          <w:sz w:val="28"/>
          <w:szCs w:val="28"/>
          <w:lang w:eastAsia="zh-CN"/>
        </w:rPr>
        <w:t>2009.</w:t>
      </w:r>
      <w:r w:rsidR="007B332A" w:rsidRPr="00DC0382">
        <w:rPr>
          <w:rFonts w:eastAsiaTheme="minorEastAsia"/>
          <w:sz w:val="28"/>
          <w:szCs w:val="28"/>
          <w:lang w:eastAsia="zh-CN"/>
        </w:rPr>
        <w:t xml:space="preserve"> ― </w:t>
      </w:r>
      <w:r w:rsidRPr="00DC0382">
        <w:rPr>
          <w:rFonts w:eastAsiaTheme="minorEastAsia"/>
          <w:sz w:val="28"/>
          <w:szCs w:val="28"/>
          <w:lang w:eastAsia="zh-CN"/>
        </w:rPr>
        <w:t>№</w:t>
      </w:r>
      <w:r w:rsidR="001C20A4" w:rsidRPr="00DC0382">
        <w:rPr>
          <w:rFonts w:eastAsiaTheme="minorEastAsia"/>
          <w:sz w:val="28"/>
          <w:szCs w:val="28"/>
          <w:lang w:eastAsia="zh-CN"/>
        </w:rPr>
        <w:t xml:space="preserve"> </w:t>
      </w:r>
      <w:r w:rsidRPr="00DC0382">
        <w:rPr>
          <w:rFonts w:eastAsiaTheme="minorEastAsia"/>
          <w:sz w:val="28"/>
          <w:szCs w:val="28"/>
          <w:lang w:eastAsia="zh-CN"/>
        </w:rPr>
        <w:t>2.</w:t>
      </w:r>
      <w:r w:rsidR="007B332A" w:rsidRPr="00DC0382">
        <w:rPr>
          <w:rFonts w:eastAsiaTheme="minorEastAsia"/>
          <w:sz w:val="28"/>
          <w:szCs w:val="28"/>
          <w:lang w:eastAsia="zh-CN"/>
        </w:rPr>
        <w:t xml:space="preserve"> ― </w:t>
      </w:r>
      <w:r w:rsidRPr="00DC0382">
        <w:rPr>
          <w:rFonts w:eastAsiaTheme="minorEastAsia"/>
          <w:sz w:val="28"/>
          <w:szCs w:val="28"/>
          <w:lang w:eastAsia="zh-CN"/>
        </w:rPr>
        <w:t>С. 8</w:t>
      </w:r>
      <w:r w:rsidR="007B332A" w:rsidRPr="00DC0382">
        <w:rPr>
          <w:rFonts w:eastAsiaTheme="minorEastAsia"/>
          <w:sz w:val="28"/>
          <w:szCs w:val="28"/>
          <w:lang w:eastAsia="zh-CN"/>
        </w:rPr>
        <w:t>–</w:t>
      </w:r>
      <w:r w:rsidRPr="00DC0382">
        <w:rPr>
          <w:rFonts w:eastAsiaTheme="minorEastAsia"/>
          <w:sz w:val="28"/>
          <w:szCs w:val="28"/>
          <w:lang w:eastAsia="zh-CN"/>
        </w:rPr>
        <w:t>16.</w:t>
      </w:r>
      <w:bookmarkEnd w:id="2"/>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eastAsia="zh-CN"/>
        </w:rPr>
      </w:pPr>
      <w:bookmarkStart w:id="3" w:name="_Ref381462338"/>
      <w:r w:rsidRPr="00DC0382">
        <w:rPr>
          <w:rFonts w:eastAsiaTheme="minorEastAsia"/>
          <w:sz w:val="28"/>
          <w:szCs w:val="28"/>
          <w:lang w:eastAsia="zh-CN"/>
        </w:rPr>
        <w:t>Заболевания</w:t>
      </w:r>
      <w:r w:rsidR="001C20A4" w:rsidRPr="00DC0382">
        <w:rPr>
          <w:rFonts w:eastAsiaTheme="minorEastAsia"/>
          <w:sz w:val="28"/>
          <w:szCs w:val="28"/>
          <w:lang w:eastAsia="zh-CN"/>
        </w:rPr>
        <w:t xml:space="preserve"> </w:t>
      </w:r>
      <w:proofErr w:type="spellStart"/>
      <w:r w:rsidRPr="00DC0382">
        <w:rPr>
          <w:rFonts w:eastAsiaTheme="minorEastAsia"/>
          <w:sz w:val="28"/>
          <w:szCs w:val="28"/>
          <w:lang w:eastAsia="zh-CN"/>
        </w:rPr>
        <w:t>гастродуоденальной</w:t>
      </w:r>
      <w:proofErr w:type="spellEnd"/>
      <w:r w:rsidR="001C20A4" w:rsidRPr="00DC0382">
        <w:rPr>
          <w:rFonts w:eastAsiaTheme="minorEastAsia"/>
          <w:sz w:val="28"/>
          <w:szCs w:val="28"/>
          <w:lang w:eastAsia="zh-CN"/>
        </w:rPr>
        <w:t xml:space="preserve"> </w:t>
      </w:r>
      <w:r w:rsidRPr="00DC0382">
        <w:rPr>
          <w:rFonts w:eastAsiaTheme="minorEastAsia"/>
          <w:sz w:val="28"/>
          <w:szCs w:val="28"/>
          <w:lang w:eastAsia="zh-CN"/>
        </w:rPr>
        <w:t>системы</w:t>
      </w:r>
      <w:r w:rsidR="007B332A" w:rsidRPr="00DC0382">
        <w:rPr>
          <w:rFonts w:eastAsiaTheme="minorEastAsia"/>
          <w:sz w:val="28"/>
          <w:szCs w:val="28"/>
          <w:lang w:eastAsia="zh-CN"/>
        </w:rPr>
        <w:t xml:space="preserve"> ―</w:t>
      </w:r>
      <w:r w:rsidR="00D1382C" w:rsidRPr="00DC0382">
        <w:rPr>
          <w:rFonts w:eastAsiaTheme="minorEastAsia"/>
          <w:sz w:val="28"/>
          <w:szCs w:val="28"/>
          <w:lang w:eastAsia="zh-CN"/>
        </w:rPr>
        <w:t xml:space="preserve"> </w:t>
      </w:r>
      <w:r w:rsidRPr="00DC0382">
        <w:rPr>
          <w:rFonts w:eastAsiaTheme="minorEastAsia"/>
          <w:sz w:val="28"/>
          <w:szCs w:val="28"/>
          <w:lang w:eastAsia="zh-CN"/>
        </w:rPr>
        <w:t>наиболее</w:t>
      </w:r>
      <w:r w:rsidR="001C20A4" w:rsidRPr="00DC0382">
        <w:rPr>
          <w:rFonts w:eastAsiaTheme="minorEastAsia"/>
          <w:sz w:val="28"/>
          <w:szCs w:val="28"/>
          <w:lang w:eastAsia="zh-CN"/>
        </w:rPr>
        <w:t xml:space="preserve"> </w:t>
      </w:r>
      <w:r w:rsidRPr="00DC0382">
        <w:rPr>
          <w:rFonts w:eastAsiaTheme="minorEastAsia"/>
          <w:sz w:val="28"/>
          <w:szCs w:val="28"/>
          <w:lang w:eastAsia="zh-CN"/>
        </w:rPr>
        <w:t>распространенная</w:t>
      </w:r>
      <w:r w:rsidR="001C20A4" w:rsidRPr="00DC0382">
        <w:rPr>
          <w:rFonts w:eastAsiaTheme="minorEastAsia"/>
          <w:sz w:val="28"/>
          <w:szCs w:val="28"/>
          <w:lang w:eastAsia="zh-CN"/>
        </w:rPr>
        <w:t xml:space="preserve"> </w:t>
      </w:r>
      <w:r w:rsidRPr="00DC0382">
        <w:rPr>
          <w:rFonts w:eastAsiaTheme="minorEastAsia"/>
          <w:sz w:val="28"/>
          <w:szCs w:val="28"/>
          <w:lang w:eastAsia="zh-CN"/>
        </w:rPr>
        <w:t>патология</w:t>
      </w:r>
      <w:r w:rsidR="001C20A4" w:rsidRPr="00DC0382">
        <w:rPr>
          <w:rFonts w:eastAsiaTheme="minorEastAsia"/>
          <w:sz w:val="28"/>
          <w:szCs w:val="28"/>
          <w:lang w:eastAsia="zh-CN"/>
        </w:rPr>
        <w:t xml:space="preserve"> </w:t>
      </w:r>
      <w:r w:rsidRPr="00DC0382">
        <w:rPr>
          <w:rFonts w:eastAsiaTheme="minorEastAsia"/>
          <w:sz w:val="28"/>
          <w:szCs w:val="28"/>
          <w:lang w:eastAsia="zh-CN"/>
        </w:rPr>
        <w:t>органов</w:t>
      </w:r>
      <w:r w:rsidR="001C20A4" w:rsidRPr="00DC0382">
        <w:rPr>
          <w:rFonts w:eastAsiaTheme="minorEastAsia"/>
          <w:sz w:val="28"/>
          <w:szCs w:val="28"/>
          <w:lang w:eastAsia="zh-CN"/>
        </w:rPr>
        <w:t xml:space="preserve"> </w:t>
      </w:r>
      <w:r w:rsidRPr="00DC0382">
        <w:rPr>
          <w:rFonts w:eastAsiaTheme="minorEastAsia"/>
          <w:sz w:val="28"/>
          <w:szCs w:val="28"/>
          <w:lang w:eastAsia="zh-CN"/>
        </w:rPr>
        <w:t>пищеварения</w:t>
      </w:r>
      <w:r w:rsidR="00D1382C" w:rsidRPr="00DC0382">
        <w:rPr>
          <w:rFonts w:eastAsiaTheme="minorEastAsia"/>
          <w:sz w:val="28"/>
          <w:szCs w:val="28"/>
          <w:lang w:eastAsia="zh-CN"/>
        </w:rPr>
        <w:t xml:space="preserve"> </w:t>
      </w:r>
      <w:r w:rsidRPr="00DC0382">
        <w:rPr>
          <w:rFonts w:eastAsiaTheme="minorEastAsia"/>
          <w:sz w:val="28"/>
          <w:szCs w:val="28"/>
          <w:lang w:eastAsia="zh-CN"/>
        </w:rPr>
        <w:t>у</w:t>
      </w:r>
      <w:r w:rsidR="00D1382C" w:rsidRPr="00DC0382">
        <w:rPr>
          <w:rFonts w:eastAsiaTheme="minorEastAsia"/>
          <w:sz w:val="28"/>
          <w:szCs w:val="28"/>
          <w:lang w:eastAsia="zh-CN"/>
        </w:rPr>
        <w:t xml:space="preserve"> </w:t>
      </w:r>
      <w:r w:rsidRPr="00DC0382">
        <w:rPr>
          <w:rFonts w:eastAsiaTheme="minorEastAsia"/>
          <w:sz w:val="28"/>
          <w:szCs w:val="28"/>
          <w:lang w:eastAsia="zh-CN"/>
        </w:rPr>
        <w:t>детей</w:t>
      </w:r>
      <w:r w:rsidR="00D1382C" w:rsidRPr="00DC0382">
        <w:rPr>
          <w:rFonts w:eastAsiaTheme="minorEastAsia"/>
          <w:sz w:val="28"/>
          <w:szCs w:val="28"/>
          <w:lang w:eastAsia="zh-CN"/>
        </w:rPr>
        <w:t xml:space="preserve"> </w:t>
      </w:r>
      <w:r w:rsidRPr="00DC0382">
        <w:rPr>
          <w:rFonts w:eastAsiaTheme="minorEastAsia"/>
          <w:sz w:val="28"/>
          <w:szCs w:val="28"/>
          <w:lang w:eastAsia="zh-CN"/>
        </w:rPr>
        <w:t>и</w:t>
      </w:r>
      <w:r w:rsidR="00D1382C" w:rsidRPr="00DC0382">
        <w:rPr>
          <w:rFonts w:eastAsiaTheme="minorEastAsia"/>
          <w:sz w:val="28"/>
          <w:szCs w:val="28"/>
          <w:lang w:eastAsia="zh-CN"/>
        </w:rPr>
        <w:t xml:space="preserve"> </w:t>
      </w:r>
      <w:r w:rsidRPr="00DC0382">
        <w:rPr>
          <w:rFonts w:eastAsiaTheme="minorEastAsia"/>
          <w:sz w:val="28"/>
          <w:szCs w:val="28"/>
          <w:lang w:eastAsia="zh-CN"/>
        </w:rPr>
        <w:t>подростков /</w:t>
      </w:r>
      <w:r w:rsidR="00D1382C" w:rsidRPr="00DC0382">
        <w:rPr>
          <w:rFonts w:eastAsiaTheme="minorEastAsia"/>
          <w:sz w:val="28"/>
          <w:szCs w:val="28"/>
          <w:lang w:eastAsia="zh-CN"/>
        </w:rPr>
        <w:t xml:space="preserve"> </w:t>
      </w:r>
      <w:r w:rsidRPr="00DC0382">
        <w:rPr>
          <w:rFonts w:eastAsiaTheme="minorEastAsia"/>
          <w:sz w:val="28"/>
          <w:szCs w:val="28"/>
          <w:lang w:eastAsia="zh-CN"/>
        </w:rPr>
        <w:t>В.</w:t>
      </w:r>
      <w:r w:rsidR="001C20A4" w:rsidRPr="00DC0382">
        <w:rPr>
          <w:rFonts w:eastAsiaTheme="minorEastAsia"/>
          <w:sz w:val="28"/>
          <w:szCs w:val="28"/>
          <w:lang w:eastAsia="zh-CN"/>
        </w:rPr>
        <w:t xml:space="preserve"> </w:t>
      </w:r>
      <w:r w:rsidRPr="00DC0382">
        <w:rPr>
          <w:rFonts w:eastAsiaTheme="minorEastAsia"/>
          <w:sz w:val="28"/>
          <w:szCs w:val="28"/>
          <w:lang w:eastAsia="zh-CN"/>
        </w:rPr>
        <w:t>А. Мирошниченко, Т.</w:t>
      </w:r>
      <w:r w:rsidR="001C20A4" w:rsidRPr="00DC0382">
        <w:rPr>
          <w:rFonts w:eastAsiaTheme="minorEastAsia"/>
          <w:sz w:val="28"/>
          <w:szCs w:val="28"/>
          <w:lang w:eastAsia="zh-CN"/>
        </w:rPr>
        <w:t xml:space="preserve"> </w:t>
      </w:r>
      <w:r w:rsidRPr="00DC0382">
        <w:rPr>
          <w:rFonts w:eastAsiaTheme="minorEastAsia"/>
          <w:sz w:val="28"/>
          <w:szCs w:val="28"/>
          <w:lang w:eastAsia="zh-CN"/>
        </w:rPr>
        <w:t xml:space="preserve">Я. </w:t>
      </w:r>
      <w:proofErr w:type="spellStart"/>
      <w:r w:rsidRPr="00DC0382">
        <w:rPr>
          <w:rFonts w:eastAsiaTheme="minorEastAsia"/>
          <w:sz w:val="28"/>
          <w:szCs w:val="28"/>
          <w:lang w:eastAsia="zh-CN"/>
        </w:rPr>
        <w:t>Янсонс</w:t>
      </w:r>
      <w:proofErr w:type="spellEnd"/>
      <w:r w:rsidRPr="00DC0382">
        <w:rPr>
          <w:rFonts w:eastAsiaTheme="minorEastAsia"/>
          <w:sz w:val="28"/>
          <w:szCs w:val="28"/>
          <w:lang w:eastAsia="zh-CN"/>
        </w:rPr>
        <w:t>, М.</w:t>
      </w:r>
      <w:r w:rsidR="001C20A4" w:rsidRPr="00DC0382">
        <w:rPr>
          <w:rFonts w:eastAsiaTheme="minorEastAsia"/>
          <w:sz w:val="28"/>
          <w:szCs w:val="28"/>
          <w:lang w:eastAsia="zh-CN"/>
        </w:rPr>
        <w:t xml:space="preserve"> </w:t>
      </w:r>
      <w:r w:rsidRPr="00DC0382">
        <w:rPr>
          <w:rFonts w:eastAsiaTheme="minorEastAsia"/>
          <w:sz w:val="28"/>
          <w:szCs w:val="28"/>
          <w:lang w:eastAsia="zh-CN"/>
        </w:rPr>
        <w:t>А. Ивановская [и др.] // Тихоокеанский</w:t>
      </w:r>
      <w:r w:rsidR="001C20A4" w:rsidRPr="00DC0382">
        <w:rPr>
          <w:rFonts w:eastAsiaTheme="minorEastAsia"/>
          <w:sz w:val="28"/>
          <w:szCs w:val="28"/>
          <w:lang w:eastAsia="zh-CN"/>
        </w:rPr>
        <w:t xml:space="preserve"> </w:t>
      </w:r>
      <w:r w:rsidRPr="00DC0382">
        <w:rPr>
          <w:rFonts w:eastAsiaTheme="minorEastAsia"/>
          <w:sz w:val="28"/>
          <w:szCs w:val="28"/>
          <w:lang w:eastAsia="zh-CN"/>
        </w:rPr>
        <w:t>мед</w:t>
      </w:r>
      <w:proofErr w:type="gramStart"/>
      <w:r w:rsidR="00750EC7" w:rsidRPr="00DC0382">
        <w:rPr>
          <w:rFonts w:eastAsiaTheme="minorEastAsia"/>
          <w:sz w:val="28"/>
          <w:szCs w:val="28"/>
          <w:lang w:eastAsia="zh-CN"/>
        </w:rPr>
        <w:t>.</w:t>
      </w:r>
      <w:proofErr w:type="gramEnd"/>
      <w:r w:rsidRPr="00DC0382">
        <w:rPr>
          <w:rFonts w:eastAsiaTheme="minorEastAsia"/>
          <w:sz w:val="28"/>
          <w:szCs w:val="28"/>
          <w:lang w:eastAsia="zh-CN"/>
        </w:rPr>
        <w:t xml:space="preserve"> </w:t>
      </w:r>
      <w:proofErr w:type="gramStart"/>
      <w:r w:rsidRPr="00DC0382">
        <w:rPr>
          <w:rFonts w:eastAsiaTheme="minorEastAsia"/>
          <w:sz w:val="28"/>
          <w:szCs w:val="28"/>
          <w:lang w:eastAsia="zh-CN"/>
        </w:rPr>
        <w:t>ж</w:t>
      </w:r>
      <w:proofErr w:type="gramEnd"/>
      <w:r w:rsidRPr="00DC0382">
        <w:rPr>
          <w:rFonts w:eastAsiaTheme="minorEastAsia"/>
          <w:sz w:val="28"/>
          <w:szCs w:val="28"/>
          <w:lang w:eastAsia="zh-CN"/>
        </w:rPr>
        <w:t>урн.</w:t>
      </w:r>
      <w:r w:rsidR="007B332A" w:rsidRPr="00DC0382">
        <w:rPr>
          <w:rFonts w:eastAsiaTheme="minorEastAsia"/>
          <w:sz w:val="28"/>
          <w:szCs w:val="28"/>
          <w:lang w:eastAsia="zh-CN"/>
        </w:rPr>
        <w:t xml:space="preserve"> ― </w:t>
      </w:r>
      <w:r w:rsidRPr="00DC0382">
        <w:rPr>
          <w:rFonts w:eastAsiaTheme="minorEastAsia"/>
          <w:sz w:val="28"/>
          <w:szCs w:val="28"/>
          <w:lang w:eastAsia="zh-CN"/>
        </w:rPr>
        <w:t>2008.</w:t>
      </w:r>
      <w:r w:rsidR="007B332A" w:rsidRPr="00DC0382">
        <w:rPr>
          <w:rFonts w:eastAsiaTheme="minorEastAsia"/>
          <w:sz w:val="28"/>
          <w:szCs w:val="28"/>
          <w:lang w:eastAsia="zh-CN"/>
        </w:rPr>
        <w:t xml:space="preserve"> ― </w:t>
      </w:r>
      <w:r w:rsidRPr="00DC0382">
        <w:rPr>
          <w:rFonts w:eastAsiaTheme="minorEastAsia"/>
          <w:sz w:val="28"/>
          <w:szCs w:val="28"/>
          <w:lang w:eastAsia="zh-CN"/>
        </w:rPr>
        <w:t>№</w:t>
      </w:r>
      <w:r w:rsidR="001C20A4" w:rsidRPr="00DC0382">
        <w:rPr>
          <w:rFonts w:eastAsiaTheme="minorEastAsia"/>
          <w:sz w:val="28"/>
          <w:szCs w:val="28"/>
          <w:lang w:eastAsia="zh-CN"/>
        </w:rPr>
        <w:t xml:space="preserve"> </w:t>
      </w:r>
      <w:r w:rsidRPr="00DC0382">
        <w:rPr>
          <w:rFonts w:eastAsiaTheme="minorEastAsia"/>
          <w:sz w:val="28"/>
          <w:szCs w:val="28"/>
          <w:lang w:eastAsia="zh-CN"/>
        </w:rPr>
        <w:t>3.</w:t>
      </w:r>
      <w:r w:rsidR="007B332A" w:rsidRPr="00DC0382">
        <w:rPr>
          <w:rFonts w:eastAsiaTheme="minorEastAsia"/>
          <w:sz w:val="28"/>
          <w:szCs w:val="28"/>
          <w:lang w:eastAsia="zh-CN"/>
        </w:rPr>
        <w:t xml:space="preserve"> ― </w:t>
      </w:r>
      <w:r w:rsidRPr="00DC0382">
        <w:rPr>
          <w:rFonts w:eastAsiaTheme="minorEastAsia"/>
          <w:sz w:val="28"/>
          <w:szCs w:val="28"/>
          <w:lang w:eastAsia="zh-CN"/>
        </w:rPr>
        <w:t>С. 53</w:t>
      </w:r>
      <w:r w:rsidR="007B332A" w:rsidRPr="00DC0382">
        <w:rPr>
          <w:rFonts w:eastAsiaTheme="minorEastAsia"/>
          <w:sz w:val="28"/>
          <w:szCs w:val="28"/>
          <w:lang w:eastAsia="zh-CN"/>
        </w:rPr>
        <w:t>–</w:t>
      </w:r>
      <w:r w:rsidRPr="00DC0382">
        <w:rPr>
          <w:rFonts w:eastAsiaTheme="minorEastAsia"/>
          <w:sz w:val="28"/>
          <w:szCs w:val="28"/>
          <w:lang w:eastAsia="zh-CN"/>
        </w:rPr>
        <w:t>55.</w:t>
      </w:r>
      <w:bookmarkEnd w:id="3"/>
      <w:r w:rsidRPr="00DC0382">
        <w:rPr>
          <w:rFonts w:eastAsiaTheme="minorEastAsia"/>
          <w:sz w:val="28"/>
          <w:szCs w:val="28"/>
          <w:lang w:eastAsia="zh-CN"/>
        </w:rPr>
        <w:t xml:space="preserve"> </w:t>
      </w:r>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eastAsia="zh-CN"/>
        </w:rPr>
      </w:pPr>
      <w:bookmarkStart w:id="4" w:name="_Ref381462003"/>
      <w:proofErr w:type="spellStart"/>
      <w:r w:rsidRPr="00DC0382">
        <w:rPr>
          <w:rFonts w:eastAsiaTheme="minorEastAsia"/>
          <w:sz w:val="28"/>
          <w:szCs w:val="28"/>
          <w:lang w:eastAsia="zh-CN"/>
        </w:rPr>
        <w:t>Захворювання</w:t>
      </w:r>
      <w:proofErr w:type="spellEnd"/>
      <w:r w:rsidRPr="00DC0382">
        <w:rPr>
          <w:rFonts w:eastAsiaTheme="minorEastAsia"/>
          <w:sz w:val="28"/>
          <w:szCs w:val="28"/>
          <w:lang w:eastAsia="zh-CN"/>
        </w:rPr>
        <w:t xml:space="preserve"> </w:t>
      </w:r>
      <w:proofErr w:type="spellStart"/>
      <w:r w:rsidRPr="00DC0382">
        <w:rPr>
          <w:rFonts w:eastAsiaTheme="minorEastAsia"/>
          <w:sz w:val="28"/>
          <w:szCs w:val="28"/>
          <w:lang w:eastAsia="zh-CN"/>
        </w:rPr>
        <w:t>органів</w:t>
      </w:r>
      <w:proofErr w:type="spellEnd"/>
      <w:r w:rsidRPr="00DC0382">
        <w:rPr>
          <w:rFonts w:eastAsiaTheme="minorEastAsia"/>
          <w:sz w:val="28"/>
          <w:szCs w:val="28"/>
          <w:lang w:eastAsia="zh-CN"/>
        </w:rPr>
        <w:t xml:space="preserve"> </w:t>
      </w:r>
      <w:proofErr w:type="spellStart"/>
      <w:r w:rsidRPr="00DC0382">
        <w:rPr>
          <w:rFonts w:eastAsiaTheme="minorEastAsia"/>
          <w:sz w:val="28"/>
          <w:szCs w:val="28"/>
          <w:lang w:eastAsia="zh-CN"/>
        </w:rPr>
        <w:t>травлення</w:t>
      </w:r>
      <w:proofErr w:type="spellEnd"/>
      <w:r w:rsidRPr="00DC0382">
        <w:rPr>
          <w:rFonts w:eastAsiaTheme="minorEastAsia"/>
          <w:sz w:val="28"/>
          <w:szCs w:val="28"/>
          <w:lang w:eastAsia="zh-CN"/>
        </w:rPr>
        <w:t xml:space="preserve"> у </w:t>
      </w:r>
      <w:proofErr w:type="spellStart"/>
      <w:r w:rsidRPr="00DC0382">
        <w:rPr>
          <w:rFonts w:eastAsiaTheme="minorEastAsia"/>
          <w:sz w:val="28"/>
          <w:szCs w:val="28"/>
          <w:lang w:eastAsia="zh-CN"/>
        </w:rPr>
        <w:t>дітей</w:t>
      </w:r>
      <w:proofErr w:type="spellEnd"/>
      <w:r w:rsidRPr="00DC0382">
        <w:rPr>
          <w:rFonts w:eastAsiaTheme="minorEastAsia"/>
          <w:sz w:val="28"/>
          <w:szCs w:val="28"/>
          <w:lang w:eastAsia="zh-CN"/>
        </w:rPr>
        <w:t xml:space="preserve"> (</w:t>
      </w:r>
      <w:proofErr w:type="spellStart"/>
      <w:r w:rsidRPr="00DC0382">
        <w:rPr>
          <w:rFonts w:eastAsiaTheme="minorEastAsia"/>
          <w:sz w:val="28"/>
          <w:szCs w:val="28"/>
          <w:lang w:eastAsia="zh-CN"/>
        </w:rPr>
        <w:t>Стандарти</w:t>
      </w:r>
      <w:proofErr w:type="spellEnd"/>
      <w:r w:rsidRPr="00DC0382">
        <w:rPr>
          <w:rFonts w:eastAsiaTheme="minorEastAsia"/>
          <w:sz w:val="28"/>
          <w:szCs w:val="28"/>
          <w:lang w:eastAsia="zh-CN"/>
        </w:rPr>
        <w:t xml:space="preserve"> </w:t>
      </w:r>
      <w:proofErr w:type="spellStart"/>
      <w:r w:rsidRPr="00DC0382">
        <w:rPr>
          <w:rFonts w:eastAsiaTheme="minorEastAsia"/>
          <w:sz w:val="28"/>
          <w:szCs w:val="28"/>
          <w:lang w:eastAsia="zh-CN"/>
        </w:rPr>
        <w:t>діагностики</w:t>
      </w:r>
      <w:proofErr w:type="spellEnd"/>
      <w:r w:rsidRPr="00DC0382">
        <w:rPr>
          <w:rFonts w:eastAsiaTheme="minorEastAsia"/>
          <w:sz w:val="28"/>
          <w:szCs w:val="28"/>
          <w:lang w:eastAsia="zh-CN"/>
        </w:rPr>
        <w:t xml:space="preserve"> та </w:t>
      </w:r>
      <w:proofErr w:type="spellStart"/>
      <w:r w:rsidRPr="00DC0382">
        <w:rPr>
          <w:rFonts w:eastAsiaTheme="minorEastAsia"/>
          <w:sz w:val="28"/>
          <w:szCs w:val="28"/>
          <w:lang w:eastAsia="zh-CN"/>
        </w:rPr>
        <w:t>лікування</w:t>
      </w:r>
      <w:proofErr w:type="spellEnd"/>
      <w:r w:rsidRPr="00DC0382">
        <w:rPr>
          <w:rFonts w:eastAsiaTheme="minorEastAsia"/>
          <w:sz w:val="28"/>
          <w:szCs w:val="28"/>
          <w:lang w:eastAsia="zh-CN"/>
        </w:rPr>
        <w:t xml:space="preserve">) : </w:t>
      </w:r>
      <w:proofErr w:type="spellStart"/>
      <w:r w:rsidRPr="00DC0382">
        <w:rPr>
          <w:rFonts w:eastAsiaTheme="minorEastAsia"/>
          <w:sz w:val="28"/>
          <w:szCs w:val="28"/>
          <w:lang w:eastAsia="zh-CN"/>
        </w:rPr>
        <w:t>навч</w:t>
      </w:r>
      <w:proofErr w:type="spellEnd"/>
      <w:r w:rsidRPr="00DC0382">
        <w:rPr>
          <w:rFonts w:eastAsiaTheme="minorEastAsia"/>
          <w:sz w:val="28"/>
          <w:szCs w:val="28"/>
          <w:lang w:eastAsia="zh-CN"/>
        </w:rPr>
        <w:t xml:space="preserve">. </w:t>
      </w:r>
      <w:proofErr w:type="spellStart"/>
      <w:proofErr w:type="gramStart"/>
      <w:r w:rsidRPr="00DC0382">
        <w:rPr>
          <w:rFonts w:eastAsiaTheme="minorEastAsia"/>
          <w:sz w:val="28"/>
          <w:szCs w:val="28"/>
          <w:lang w:eastAsia="zh-CN"/>
        </w:rPr>
        <w:t>пос</w:t>
      </w:r>
      <w:proofErr w:type="gramEnd"/>
      <w:r w:rsidRPr="00DC0382">
        <w:rPr>
          <w:rFonts w:eastAsiaTheme="minorEastAsia"/>
          <w:sz w:val="28"/>
          <w:szCs w:val="28"/>
          <w:lang w:eastAsia="zh-CN"/>
        </w:rPr>
        <w:t>іб</w:t>
      </w:r>
      <w:proofErr w:type="spellEnd"/>
      <w:r w:rsidRPr="00DC0382">
        <w:rPr>
          <w:rFonts w:eastAsiaTheme="minorEastAsia"/>
          <w:sz w:val="28"/>
          <w:szCs w:val="28"/>
          <w:lang w:eastAsia="zh-CN"/>
        </w:rPr>
        <w:t>. / Ю.</w:t>
      </w:r>
      <w:r w:rsidR="001C20A4" w:rsidRPr="00DC0382">
        <w:rPr>
          <w:rFonts w:eastAsiaTheme="minorEastAsia"/>
          <w:sz w:val="28"/>
          <w:szCs w:val="28"/>
          <w:lang w:eastAsia="zh-CN"/>
        </w:rPr>
        <w:t xml:space="preserve"> </w:t>
      </w:r>
      <w:r w:rsidRPr="00DC0382">
        <w:rPr>
          <w:rFonts w:eastAsiaTheme="minorEastAsia"/>
          <w:sz w:val="28"/>
          <w:szCs w:val="28"/>
          <w:lang w:eastAsia="zh-CN"/>
        </w:rPr>
        <w:t xml:space="preserve">В. </w:t>
      </w:r>
      <w:proofErr w:type="spellStart"/>
      <w:r w:rsidRPr="00DC0382">
        <w:rPr>
          <w:rFonts w:eastAsiaTheme="minorEastAsia"/>
          <w:sz w:val="28"/>
          <w:szCs w:val="28"/>
          <w:lang w:eastAsia="zh-CN"/>
        </w:rPr>
        <w:t>Бєлоусов</w:t>
      </w:r>
      <w:proofErr w:type="spellEnd"/>
      <w:r w:rsidRPr="00DC0382">
        <w:rPr>
          <w:rFonts w:eastAsiaTheme="minorEastAsia"/>
          <w:sz w:val="28"/>
          <w:szCs w:val="28"/>
          <w:lang w:eastAsia="zh-CN"/>
        </w:rPr>
        <w:t>, О.</w:t>
      </w:r>
      <w:r w:rsidR="001C20A4" w:rsidRPr="00DC0382">
        <w:rPr>
          <w:rFonts w:eastAsiaTheme="minorEastAsia"/>
          <w:sz w:val="28"/>
          <w:szCs w:val="28"/>
          <w:lang w:eastAsia="zh-CN"/>
        </w:rPr>
        <w:t xml:space="preserve"> </w:t>
      </w:r>
      <w:r w:rsidRPr="00DC0382">
        <w:rPr>
          <w:rFonts w:eastAsiaTheme="minorEastAsia"/>
          <w:sz w:val="28"/>
          <w:szCs w:val="28"/>
          <w:lang w:eastAsia="zh-CN"/>
        </w:rPr>
        <w:t xml:space="preserve">Ю. </w:t>
      </w:r>
      <w:proofErr w:type="spellStart"/>
      <w:r w:rsidRPr="00DC0382">
        <w:rPr>
          <w:rFonts w:eastAsiaTheme="minorEastAsia"/>
          <w:sz w:val="28"/>
          <w:szCs w:val="28"/>
          <w:lang w:eastAsia="zh-CN"/>
        </w:rPr>
        <w:t>Бєлоусова</w:t>
      </w:r>
      <w:proofErr w:type="spellEnd"/>
      <w:r w:rsidRPr="00DC0382">
        <w:rPr>
          <w:rFonts w:eastAsiaTheme="minorEastAsia"/>
          <w:sz w:val="28"/>
          <w:szCs w:val="28"/>
          <w:lang w:eastAsia="zh-CN"/>
        </w:rPr>
        <w:t>, Л.</w:t>
      </w:r>
      <w:r w:rsidR="001C20A4" w:rsidRPr="00DC0382">
        <w:rPr>
          <w:rFonts w:eastAsiaTheme="minorEastAsia"/>
          <w:sz w:val="28"/>
          <w:szCs w:val="28"/>
          <w:lang w:eastAsia="zh-CN"/>
        </w:rPr>
        <w:t xml:space="preserve"> </w:t>
      </w:r>
      <w:r w:rsidRPr="00DC0382">
        <w:rPr>
          <w:rFonts w:eastAsiaTheme="minorEastAsia"/>
          <w:sz w:val="28"/>
          <w:szCs w:val="28"/>
          <w:lang w:eastAsia="zh-CN"/>
        </w:rPr>
        <w:t xml:space="preserve">Г. Волошина [та </w:t>
      </w:r>
      <w:proofErr w:type="spellStart"/>
      <w:r w:rsidRPr="00DC0382">
        <w:rPr>
          <w:rFonts w:eastAsiaTheme="minorEastAsia"/>
          <w:sz w:val="28"/>
          <w:szCs w:val="28"/>
          <w:lang w:eastAsia="zh-CN"/>
        </w:rPr>
        <w:t>ін</w:t>
      </w:r>
      <w:proofErr w:type="spellEnd"/>
      <w:r w:rsidRPr="00DC0382">
        <w:rPr>
          <w:rFonts w:eastAsiaTheme="minorEastAsia"/>
          <w:sz w:val="28"/>
          <w:szCs w:val="28"/>
          <w:lang w:eastAsia="zh-CN"/>
        </w:rPr>
        <w:t>.]</w:t>
      </w:r>
      <w:r w:rsidR="001C20A4" w:rsidRPr="00DC0382">
        <w:rPr>
          <w:rFonts w:eastAsiaTheme="minorEastAsia"/>
          <w:sz w:val="28"/>
          <w:szCs w:val="28"/>
          <w:lang w:eastAsia="zh-CN"/>
        </w:rPr>
        <w:t>.</w:t>
      </w:r>
      <w:r w:rsidR="007B332A" w:rsidRPr="00DC0382">
        <w:rPr>
          <w:rFonts w:eastAsiaTheme="minorEastAsia"/>
          <w:sz w:val="28"/>
          <w:szCs w:val="28"/>
          <w:lang w:eastAsia="zh-CN"/>
        </w:rPr>
        <w:t xml:space="preserve"> ― </w:t>
      </w:r>
      <w:r w:rsidRPr="00DC0382">
        <w:rPr>
          <w:rFonts w:eastAsiaTheme="minorEastAsia"/>
          <w:sz w:val="28"/>
          <w:szCs w:val="28"/>
          <w:lang w:eastAsia="zh-CN"/>
        </w:rPr>
        <w:t>Х.</w:t>
      </w:r>
      <w:proofErr w:type="gramStart"/>
      <w:r w:rsidR="001C20A4" w:rsidRPr="00DC0382">
        <w:rPr>
          <w:rFonts w:eastAsiaTheme="minorEastAsia"/>
          <w:sz w:val="28"/>
          <w:szCs w:val="28"/>
          <w:lang w:eastAsia="zh-CN"/>
        </w:rPr>
        <w:t xml:space="preserve"> </w:t>
      </w:r>
      <w:r w:rsidRPr="00DC0382">
        <w:rPr>
          <w:rFonts w:eastAsiaTheme="minorEastAsia"/>
          <w:sz w:val="28"/>
          <w:szCs w:val="28"/>
          <w:lang w:eastAsia="zh-CN"/>
        </w:rPr>
        <w:t>:</w:t>
      </w:r>
      <w:proofErr w:type="gramEnd"/>
      <w:r w:rsidRPr="00DC0382">
        <w:rPr>
          <w:rFonts w:eastAsiaTheme="minorEastAsia"/>
          <w:sz w:val="28"/>
          <w:szCs w:val="28"/>
          <w:lang w:eastAsia="zh-CN"/>
        </w:rPr>
        <w:t xml:space="preserve"> Факт, 2010.</w:t>
      </w:r>
      <w:r w:rsidR="007B332A" w:rsidRPr="00DC0382">
        <w:rPr>
          <w:rFonts w:eastAsiaTheme="minorEastAsia"/>
          <w:sz w:val="28"/>
          <w:szCs w:val="28"/>
          <w:lang w:eastAsia="zh-CN"/>
        </w:rPr>
        <w:t xml:space="preserve"> ― </w:t>
      </w:r>
      <w:r w:rsidRPr="00DC0382">
        <w:rPr>
          <w:rFonts w:eastAsiaTheme="minorEastAsia"/>
          <w:sz w:val="28"/>
          <w:szCs w:val="28"/>
          <w:lang w:eastAsia="zh-CN"/>
        </w:rPr>
        <w:t>143 с.</w:t>
      </w:r>
      <w:bookmarkEnd w:id="4"/>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eastAsia="zh-CN"/>
        </w:rPr>
      </w:pPr>
      <w:bookmarkStart w:id="5" w:name="_Ref381462538"/>
      <w:r w:rsidRPr="00DC0382">
        <w:rPr>
          <w:rFonts w:eastAsiaTheme="minorEastAsia"/>
          <w:sz w:val="28"/>
          <w:szCs w:val="28"/>
          <w:lang w:eastAsia="zh-CN"/>
        </w:rPr>
        <w:t>Леонтьева Н.</w:t>
      </w:r>
      <w:r w:rsidR="001C20A4" w:rsidRPr="00DC0382">
        <w:rPr>
          <w:rFonts w:eastAsiaTheme="minorEastAsia"/>
          <w:sz w:val="28"/>
          <w:szCs w:val="28"/>
          <w:lang w:eastAsia="zh-CN"/>
        </w:rPr>
        <w:t xml:space="preserve"> </w:t>
      </w:r>
      <w:r w:rsidRPr="00DC0382">
        <w:rPr>
          <w:rFonts w:eastAsiaTheme="minorEastAsia"/>
          <w:sz w:val="28"/>
          <w:szCs w:val="28"/>
          <w:lang w:eastAsia="zh-CN"/>
        </w:rPr>
        <w:t xml:space="preserve">И. Роль </w:t>
      </w:r>
      <w:proofErr w:type="spellStart"/>
      <w:r w:rsidRPr="00DC0382">
        <w:rPr>
          <w:rFonts w:eastAsiaTheme="minorEastAsia"/>
          <w:sz w:val="28"/>
          <w:szCs w:val="28"/>
          <w:lang w:eastAsia="zh-CN"/>
        </w:rPr>
        <w:t>дисбактериоза</w:t>
      </w:r>
      <w:proofErr w:type="spellEnd"/>
      <w:r w:rsidRPr="00DC0382">
        <w:rPr>
          <w:rFonts w:eastAsiaTheme="minorEastAsia"/>
          <w:sz w:val="28"/>
          <w:szCs w:val="28"/>
          <w:lang w:eastAsia="zh-CN"/>
        </w:rPr>
        <w:t xml:space="preserve"> кишечника у больных хроническими заболеваниями желудочно</w:t>
      </w:r>
      <w:r w:rsidR="001C20A4" w:rsidRPr="00DC0382">
        <w:rPr>
          <w:rFonts w:eastAsiaTheme="minorEastAsia"/>
          <w:sz w:val="28"/>
          <w:szCs w:val="28"/>
          <w:lang w:eastAsia="zh-CN"/>
        </w:rPr>
        <w:t>-</w:t>
      </w:r>
      <w:r w:rsidRPr="00DC0382">
        <w:rPr>
          <w:rFonts w:eastAsiaTheme="minorEastAsia"/>
          <w:sz w:val="28"/>
          <w:szCs w:val="28"/>
          <w:lang w:eastAsia="zh-CN"/>
        </w:rPr>
        <w:t xml:space="preserve">кишечного тракта, ассоциированными с </w:t>
      </w:r>
      <w:proofErr w:type="spellStart"/>
      <w:r w:rsidRPr="00DC0382">
        <w:rPr>
          <w:rFonts w:eastAsiaTheme="minorEastAsia"/>
          <w:sz w:val="28"/>
          <w:szCs w:val="28"/>
          <w:lang w:eastAsia="zh-CN"/>
        </w:rPr>
        <w:t>пилорическими</w:t>
      </w:r>
      <w:proofErr w:type="spellEnd"/>
      <w:r w:rsidRPr="00DC0382">
        <w:rPr>
          <w:rFonts w:eastAsiaTheme="minorEastAsia"/>
          <w:sz w:val="28"/>
          <w:szCs w:val="28"/>
          <w:lang w:eastAsia="zh-CN"/>
        </w:rPr>
        <w:t xml:space="preserve"> </w:t>
      </w:r>
      <w:proofErr w:type="spellStart"/>
      <w:r w:rsidRPr="00DC0382">
        <w:rPr>
          <w:rFonts w:eastAsiaTheme="minorEastAsia"/>
          <w:sz w:val="28"/>
          <w:szCs w:val="28"/>
          <w:lang w:eastAsia="zh-CN"/>
        </w:rPr>
        <w:t>хеликобактерами</w:t>
      </w:r>
      <w:proofErr w:type="spellEnd"/>
      <w:r w:rsidRPr="00DC0382">
        <w:rPr>
          <w:rFonts w:eastAsiaTheme="minorEastAsia"/>
          <w:sz w:val="28"/>
          <w:szCs w:val="28"/>
          <w:lang w:eastAsia="zh-CN"/>
        </w:rPr>
        <w:t xml:space="preserve"> / Н.</w:t>
      </w:r>
      <w:r w:rsidR="001C20A4" w:rsidRPr="00DC0382">
        <w:rPr>
          <w:rFonts w:eastAsiaTheme="minorEastAsia"/>
          <w:sz w:val="28"/>
          <w:szCs w:val="28"/>
          <w:lang w:eastAsia="zh-CN"/>
        </w:rPr>
        <w:t xml:space="preserve"> </w:t>
      </w:r>
      <w:r w:rsidRPr="00DC0382">
        <w:rPr>
          <w:rFonts w:eastAsiaTheme="minorEastAsia"/>
          <w:sz w:val="28"/>
          <w:szCs w:val="28"/>
          <w:lang w:eastAsia="zh-CN"/>
        </w:rPr>
        <w:t>И. Леонтьева, Н.</w:t>
      </w:r>
      <w:r w:rsidR="001C20A4" w:rsidRPr="00DC0382">
        <w:rPr>
          <w:rFonts w:eastAsiaTheme="minorEastAsia"/>
          <w:sz w:val="28"/>
          <w:szCs w:val="28"/>
          <w:lang w:eastAsia="zh-CN"/>
        </w:rPr>
        <w:t xml:space="preserve"> </w:t>
      </w:r>
      <w:r w:rsidRPr="00DC0382">
        <w:rPr>
          <w:rFonts w:eastAsiaTheme="minorEastAsia"/>
          <w:sz w:val="28"/>
          <w:szCs w:val="28"/>
          <w:lang w:eastAsia="zh-CN"/>
        </w:rPr>
        <w:t>М. Грачева, И.</w:t>
      </w:r>
      <w:r w:rsidR="001C20A4" w:rsidRPr="00DC0382">
        <w:rPr>
          <w:rFonts w:eastAsiaTheme="minorEastAsia"/>
          <w:sz w:val="28"/>
          <w:szCs w:val="28"/>
          <w:lang w:eastAsia="zh-CN"/>
        </w:rPr>
        <w:t xml:space="preserve"> </w:t>
      </w:r>
      <w:r w:rsidRPr="00DC0382">
        <w:rPr>
          <w:rFonts w:eastAsiaTheme="minorEastAsia"/>
          <w:sz w:val="28"/>
          <w:szCs w:val="28"/>
          <w:lang w:eastAsia="zh-CN"/>
        </w:rPr>
        <w:t>Т. Щербаков // Вестник Башкирского университета.</w:t>
      </w:r>
      <w:r w:rsidR="007B332A" w:rsidRPr="00DC0382">
        <w:rPr>
          <w:rFonts w:eastAsiaTheme="minorEastAsia"/>
          <w:sz w:val="28"/>
          <w:szCs w:val="28"/>
          <w:lang w:eastAsia="zh-CN"/>
        </w:rPr>
        <w:t xml:space="preserve"> ― </w:t>
      </w:r>
      <w:r w:rsidRPr="00DC0382">
        <w:rPr>
          <w:rFonts w:eastAsiaTheme="minorEastAsia"/>
          <w:sz w:val="28"/>
          <w:szCs w:val="28"/>
          <w:lang w:eastAsia="zh-CN"/>
        </w:rPr>
        <w:t>2011.</w:t>
      </w:r>
      <w:r w:rsidR="007B332A" w:rsidRPr="00DC0382">
        <w:rPr>
          <w:rFonts w:eastAsiaTheme="minorEastAsia"/>
          <w:sz w:val="28"/>
          <w:szCs w:val="28"/>
          <w:lang w:eastAsia="zh-CN"/>
        </w:rPr>
        <w:t xml:space="preserve"> ― </w:t>
      </w:r>
      <w:r w:rsidRPr="00DC0382">
        <w:rPr>
          <w:rFonts w:eastAsiaTheme="minorEastAsia"/>
          <w:sz w:val="28"/>
          <w:szCs w:val="28"/>
          <w:lang w:eastAsia="zh-CN"/>
        </w:rPr>
        <w:t>№ 3.</w:t>
      </w:r>
      <w:r w:rsidR="007B332A" w:rsidRPr="00DC0382">
        <w:rPr>
          <w:rFonts w:eastAsiaTheme="minorEastAsia"/>
          <w:sz w:val="28"/>
          <w:szCs w:val="28"/>
          <w:lang w:eastAsia="zh-CN"/>
        </w:rPr>
        <w:t xml:space="preserve"> ― </w:t>
      </w:r>
      <w:r w:rsidRPr="00DC0382">
        <w:rPr>
          <w:rFonts w:eastAsiaTheme="minorEastAsia"/>
          <w:sz w:val="28"/>
          <w:szCs w:val="28"/>
          <w:lang w:eastAsia="zh-CN"/>
        </w:rPr>
        <w:t>С. 702</w:t>
      </w:r>
      <w:r w:rsidR="007B332A" w:rsidRPr="00DC0382">
        <w:rPr>
          <w:rFonts w:eastAsiaTheme="minorEastAsia"/>
          <w:sz w:val="28"/>
          <w:szCs w:val="28"/>
          <w:lang w:eastAsia="zh-CN"/>
        </w:rPr>
        <w:t>–</w:t>
      </w:r>
      <w:r w:rsidRPr="00DC0382">
        <w:rPr>
          <w:rFonts w:eastAsiaTheme="minorEastAsia"/>
          <w:sz w:val="28"/>
          <w:szCs w:val="28"/>
          <w:lang w:eastAsia="zh-CN"/>
        </w:rPr>
        <w:t>704.</w:t>
      </w:r>
      <w:bookmarkEnd w:id="5"/>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val="en-US" w:eastAsia="zh-CN"/>
        </w:rPr>
      </w:pPr>
      <w:bookmarkStart w:id="6" w:name="_Ref381462516"/>
      <w:proofErr w:type="spellStart"/>
      <w:r w:rsidRPr="00DC0382">
        <w:rPr>
          <w:rFonts w:eastAsiaTheme="minorEastAsia"/>
          <w:sz w:val="28"/>
          <w:szCs w:val="28"/>
          <w:lang w:eastAsia="zh-CN"/>
        </w:rPr>
        <w:t>Ливзан</w:t>
      </w:r>
      <w:proofErr w:type="spellEnd"/>
      <w:r w:rsidRPr="00DC0382">
        <w:rPr>
          <w:rFonts w:eastAsiaTheme="minorEastAsia"/>
          <w:sz w:val="28"/>
          <w:szCs w:val="28"/>
          <w:lang w:eastAsia="zh-CN"/>
        </w:rPr>
        <w:t xml:space="preserve"> М.</w:t>
      </w:r>
      <w:r w:rsidR="001C20A4" w:rsidRPr="00DC0382">
        <w:rPr>
          <w:rFonts w:eastAsiaTheme="minorEastAsia"/>
          <w:sz w:val="28"/>
          <w:szCs w:val="28"/>
          <w:lang w:eastAsia="zh-CN"/>
        </w:rPr>
        <w:t xml:space="preserve"> </w:t>
      </w:r>
      <w:r w:rsidRPr="00DC0382">
        <w:rPr>
          <w:rFonts w:eastAsiaTheme="minorEastAsia"/>
          <w:sz w:val="28"/>
          <w:szCs w:val="28"/>
          <w:lang w:eastAsia="zh-CN"/>
        </w:rPr>
        <w:t xml:space="preserve">А. Факторы ответа хозяина на инфекцию </w:t>
      </w:r>
      <w:r w:rsidRPr="00DC0382">
        <w:rPr>
          <w:rFonts w:eastAsiaTheme="minorEastAsia"/>
          <w:sz w:val="28"/>
          <w:szCs w:val="28"/>
          <w:lang w:val="en-US" w:eastAsia="zh-CN"/>
        </w:rPr>
        <w:t xml:space="preserve">Helicobacter pylori / </w:t>
      </w:r>
      <w:r w:rsidRPr="00DC0382">
        <w:rPr>
          <w:rFonts w:eastAsiaTheme="minorEastAsia"/>
          <w:sz w:val="28"/>
          <w:szCs w:val="28"/>
          <w:lang w:eastAsia="zh-CN"/>
        </w:rPr>
        <w:t>М</w:t>
      </w:r>
      <w:r w:rsidRPr="00DC0382">
        <w:rPr>
          <w:rFonts w:eastAsiaTheme="minorEastAsia"/>
          <w:sz w:val="28"/>
          <w:szCs w:val="28"/>
          <w:lang w:val="en-US" w:eastAsia="zh-CN"/>
        </w:rPr>
        <w:t>.</w:t>
      </w:r>
      <w:r w:rsidR="001C20A4" w:rsidRPr="00DC0382">
        <w:rPr>
          <w:rFonts w:eastAsiaTheme="minorEastAsia"/>
          <w:sz w:val="28"/>
          <w:szCs w:val="28"/>
          <w:lang w:val="en-US" w:eastAsia="zh-CN"/>
        </w:rPr>
        <w:t xml:space="preserve"> </w:t>
      </w:r>
      <w:r w:rsidRPr="00DC0382">
        <w:rPr>
          <w:rFonts w:eastAsiaTheme="minorEastAsia"/>
          <w:sz w:val="28"/>
          <w:szCs w:val="28"/>
          <w:lang w:eastAsia="zh-CN"/>
        </w:rPr>
        <w:t>А</w:t>
      </w:r>
      <w:r w:rsidRPr="00DC0382">
        <w:rPr>
          <w:rFonts w:eastAsiaTheme="minorEastAsia"/>
          <w:sz w:val="28"/>
          <w:szCs w:val="28"/>
          <w:lang w:val="en-US" w:eastAsia="zh-CN"/>
        </w:rPr>
        <w:t xml:space="preserve">. </w:t>
      </w:r>
      <w:proofErr w:type="spellStart"/>
      <w:r w:rsidRPr="00DC0382">
        <w:rPr>
          <w:rFonts w:eastAsiaTheme="minorEastAsia"/>
          <w:sz w:val="28"/>
          <w:szCs w:val="28"/>
          <w:lang w:eastAsia="zh-CN"/>
        </w:rPr>
        <w:t>Ливзан</w:t>
      </w:r>
      <w:proofErr w:type="spellEnd"/>
      <w:r w:rsidRPr="00DC0382">
        <w:rPr>
          <w:rFonts w:eastAsiaTheme="minorEastAsia"/>
          <w:sz w:val="28"/>
          <w:szCs w:val="28"/>
          <w:lang w:val="en-US" w:eastAsia="zh-CN"/>
        </w:rPr>
        <w:t xml:space="preserve"> // </w:t>
      </w:r>
      <w:proofErr w:type="spellStart"/>
      <w:r w:rsidRPr="00DC0382">
        <w:rPr>
          <w:rFonts w:eastAsiaTheme="minorEastAsia"/>
          <w:sz w:val="28"/>
          <w:szCs w:val="28"/>
          <w:lang w:val="en-US" w:eastAsia="zh-CN"/>
        </w:rPr>
        <w:t>Consilium</w:t>
      </w:r>
      <w:proofErr w:type="spellEnd"/>
      <w:r w:rsidR="001C20A4" w:rsidRPr="00DC0382">
        <w:rPr>
          <w:rFonts w:eastAsiaTheme="minorEastAsia"/>
          <w:sz w:val="28"/>
          <w:szCs w:val="28"/>
          <w:lang w:val="en-US" w:eastAsia="zh-CN"/>
        </w:rPr>
        <w:t xml:space="preserve"> </w:t>
      </w:r>
      <w:proofErr w:type="spellStart"/>
      <w:r w:rsidRPr="00DC0382">
        <w:rPr>
          <w:rFonts w:eastAsiaTheme="minorEastAsia"/>
          <w:sz w:val="28"/>
          <w:szCs w:val="28"/>
          <w:lang w:val="en-US" w:eastAsia="zh-CN"/>
        </w:rPr>
        <w:t>medicum</w:t>
      </w:r>
      <w:proofErr w:type="spellEnd"/>
      <w:r w:rsidRPr="00DC0382">
        <w:rPr>
          <w:rFonts w:eastAsiaTheme="minorEastAsia"/>
          <w:sz w:val="28"/>
          <w:szCs w:val="28"/>
          <w:lang w:val="en-US" w:eastAsia="zh-CN"/>
        </w:rPr>
        <w:t>.</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2010.</w:t>
      </w:r>
      <w:r w:rsidR="007B332A" w:rsidRPr="00DC0382">
        <w:rPr>
          <w:rFonts w:eastAsiaTheme="minorEastAsia"/>
          <w:sz w:val="28"/>
          <w:szCs w:val="28"/>
          <w:lang w:val="en-US" w:eastAsia="zh-CN"/>
        </w:rPr>
        <w:t xml:space="preserve"> ― </w:t>
      </w:r>
      <w:r w:rsidRPr="00DC0382">
        <w:rPr>
          <w:rFonts w:eastAsiaTheme="minorEastAsia"/>
          <w:sz w:val="28"/>
          <w:szCs w:val="28"/>
          <w:lang w:eastAsia="zh-CN"/>
        </w:rPr>
        <w:t>Т</w:t>
      </w:r>
      <w:r w:rsidRPr="00DC0382">
        <w:rPr>
          <w:rFonts w:eastAsiaTheme="minorEastAsia"/>
          <w:sz w:val="28"/>
          <w:szCs w:val="28"/>
          <w:lang w:val="en-US" w:eastAsia="zh-CN"/>
        </w:rPr>
        <w:t>. 12, № 8.</w:t>
      </w:r>
      <w:r w:rsidR="007B332A" w:rsidRPr="00DC0382">
        <w:rPr>
          <w:rFonts w:eastAsiaTheme="minorEastAsia"/>
          <w:sz w:val="28"/>
          <w:szCs w:val="28"/>
          <w:lang w:val="en-US" w:eastAsia="zh-CN"/>
        </w:rPr>
        <w:t xml:space="preserve"> ― </w:t>
      </w:r>
      <w:r w:rsidRPr="00DC0382">
        <w:rPr>
          <w:rFonts w:eastAsiaTheme="minorEastAsia"/>
          <w:sz w:val="28"/>
          <w:szCs w:val="28"/>
          <w:lang w:eastAsia="zh-CN"/>
        </w:rPr>
        <w:t>С</w:t>
      </w:r>
      <w:r w:rsidRPr="00DC0382">
        <w:rPr>
          <w:rFonts w:eastAsiaTheme="minorEastAsia"/>
          <w:sz w:val="28"/>
          <w:szCs w:val="28"/>
          <w:lang w:val="en-US" w:eastAsia="zh-CN"/>
        </w:rPr>
        <w:t>. 10</w:t>
      </w:r>
      <w:r w:rsidR="007B332A" w:rsidRPr="00DC0382">
        <w:rPr>
          <w:rFonts w:eastAsiaTheme="minorEastAsia"/>
          <w:sz w:val="28"/>
          <w:szCs w:val="28"/>
          <w:lang w:val="en-US" w:eastAsia="zh-CN"/>
        </w:rPr>
        <w:t>–</w:t>
      </w:r>
      <w:r w:rsidRPr="00DC0382">
        <w:rPr>
          <w:rFonts w:eastAsiaTheme="minorEastAsia"/>
          <w:sz w:val="28"/>
          <w:szCs w:val="28"/>
          <w:lang w:val="en-US" w:eastAsia="zh-CN"/>
        </w:rPr>
        <w:t>14.</w:t>
      </w:r>
      <w:bookmarkEnd w:id="6"/>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eastAsia="zh-CN"/>
        </w:rPr>
      </w:pPr>
      <w:bookmarkStart w:id="7" w:name="_Ref381462342"/>
      <w:r w:rsidRPr="00DC0382">
        <w:rPr>
          <w:rFonts w:eastAsiaTheme="minorEastAsia"/>
          <w:sz w:val="28"/>
          <w:szCs w:val="28"/>
          <w:lang w:eastAsia="zh-CN"/>
        </w:rPr>
        <w:t>Мишкина Т.</w:t>
      </w:r>
      <w:r w:rsidR="001C20A4" w:rsidRPr="00DC0382">
        <w:rPr>
          <w:rFonts w:eastAsiaTheme="minorEastAsia"/>
          <w:sz w:val="28"/>
          <w:szCs w:val="28"/>
          <w:lang w:eastAsia="zh-CN"/>
        </w:rPr>
        <w:t xml:space="preserve"> </w:t>
      </w:r>
      <w:r w:rsidRPr="00DC0382">
        <w:rPr>
          <w:rFonts w:eastAsiaTheme="minorEastAsia"/>
          <w:sz w:val="28"/>
          <w:szCs w:val="28"/>
          <w:lang w:eastAsia="zh-CN"/>
        </w:rPr>
        <w:t xml:space="preserve">В. Влияние различных генотипов </w:t>
      </w:r>
      <w:proofErr w:type="spellStart"/>
      <w:r w:rsidRPr="00DC0382">
        <w:rPr>
          <w:rFonts w:eastAsiaTheme="minorEastAsia"/>
          <w:sz w:val="28"/>
          <w:szCs w:val="28"/>
          <w:lang w:eastAsia="zh-CN"/>
        </w:rPr>
        <w:t>Helicobacter</w:t>
      </w:r>
      <w:proofErr w:type="spellEnd"/>
      <w:r w:rsidR="001C20A4" w:rsidRPr="00DC0382">
        <w:rPr>
          <w:rFonts w:eastAsiaTheme="minorEastAsia"/>
          <w:sz w:val="28"/>
          <w:szCs w:val="28"/>
          <w:lang w:eastAsia="zh-CN"/>
        </w:rPr>
        <w:t xml:space="preserve"> </w:t>
      </w:r>
      <w:proofErr w:type="spellStart"/>
      <w:r w:rsidRPr="00DC0382">
        <w:rPr>
          <w:rFonts w:eastAsiaTheme="minorEastAsia"/>
          <w:sz w:val="28"/>
          <w:szCs w:val="28"/>
          <w:lang w:eastAsia="zh-CN"/>
        </w:rPr>
        <w:t>pylori</w:t>
      </w:r>
      <w:proofErr w:type="spellEnd"/>
      <w:r w:rsidRPr="00DC0382">
        <w:rPr>
          <w:rFonts w:eastAsiaTheme="minorEastAsia"/>
          <w:sz w:val="28"/>
          <w:szCs w:val="28"/>
          <w:lang w:eastAsia="zh-CN"/>
        </w:rPr>
        <w:t xml:space="preserve"> на клинико</w:t>
      </w:r>
      <w:r w:rsidR="001C20A4" w:rsidRPr="00DC0382">
        <w:rPr>
          <w:rFonts w:eastAsiaTheme="minorEastAsia"/>
          <w:sz w:val="28"/>
          <w:szCs w:val="28"/>
          <w:lang w:eastAsia="zh-CN"/>
        </w:rPr>
        <w:t>-</w:t>
      </w:r>
      <w:r w:rsidRPr="00DC0382">
        <w:rPr>
          <w:rFonts w:eastAsiaTheme="minorEastAsia"/>
          <w:sz w:val="28"/>
          <w:szCs w:val="28"/>
          <w:lang w:eastAsia="zh-CN"/>
        </w:rPr>
        <w:t xml:space="preserve">эндоскопические и морфологические проявления хронических </w:t>
      </w:r>
      <w:proofErr w:type="spellStart"/>
      <w:r w:rsidRPr="00DC0382">
        <w:rPr>
          <w:rFonts w:eastAsiaTheme="minorEastAsia"/>
          <w:sz w:val="28"/>
          <w:szCs w:val="28"/>
          <w:lang w:eastAsia="zh-CN"/>
        </w:rPr>
        <w:t>гастродуоденальных</w:t>
      </w:r>
      <w:proofErr w:type="spellEnd"/>
      <w:r w:rsidRPr="00DC0382">
        <w:rPr>
          <w:rFonts w:eastAsiaTheme="minorEastAsia"/>
          <w:sz w:val="28"/>
          <w:szCs w:val="28"/>
          <w:lang w:eastAsia="zh-CN"/>
        </w:rPr>
        <w:t xml:space="preserve"> заболеваний</w:t>
      </w:r>
      <w:r w:rsidR="00D1382C" w:rsidRPr="00DC0382">
        <w:rPr>
          <w:rFonts w:eastAsiaTheme="minorEastAsia"/>
          <w:sz w:val="28"/>
          <w:szCs w:val="28"/>
          <w:lang w:eastAsia="zh-CN"/>
        </w:rPr>
        <w:t xml:space="preserve"> </w:t>
      </w:r>
      <w:r w:rsidRPr="00DC0382">
        <w:rPr>
          <w:rFonts w:eastAsiaTheme="minorEastAsia"/>
          <w:sz w:val="28"/>
          <w:szCs w:val="28"/>
          <w:lang w:eastAsia="zh-CN"/>
        </w:rPr>
        <w:t>у детей и подростков / Т.</w:t>
      </w:r>
      <w:r w:rsidR="001C20A4" w:rsidRPr="00DC0382">
        <w:rPr>
          <w:rFonts w:eastAsiaTheme="minorEastAsia"/>
          <w:sz w:val="28"/>
          <w:szCs w:val="28"/>
          <w:lang w:eastAsia="zh-CN"/>
        </w:rPr>
        <w:t xml:space="preserve"> </w:t>
      </w:r>
      <w:r w:rsidRPr="00DC0382">
        <w:rPr>
          <w:rFonts w:eastAsiaTheme="minorEastAsia"/>
          <w:sz w:val="28"/>
          <w:szCs w:val="28"/>
          <w:lang w:eastAsia="zh-CN"/>
        </w:rPr>
        <w:t>В. Мишкина, В.</w:t>
      </w:r>
      <w:r w:rsidR="001C20A4" w:rsidRPr="00DC0382">
        <w:rPr>
          <w:rFonts w:eastAsiaTheme="minorEastAsia"/>
          <w:sz w:val="28"/>
          <w:szCs w:val="28"/>
          <w:lang w:eastAsia="zh-CN"/>
        </w:rPr>
        <w:t xml:space="preserve"> </w:t>
      </w:r>
      <w:r w:rsidRPr="00DC0382">
        <w:rPr>
          <w:rFonts w:eastAsiaTheme="minorEastAsia"/>
          <w:sz w:val="28"/>
          <w:szCs w:val="28"/>
          <w:lang w:eastAsia="zh-CN"/>
        </w:rPr>
        <w:t>А. Александрова, А.</w:t>
      </w:r>
      <w:r w:rsidR="001C20A4" w:rsidRPr="00DC0382">
        <w:rPr>
          <w:rFonts w:eastAsiaTheme="minorEastAsia"/>
          <w:sz w:val="28"/>
          <w:szCs w:val="28"/>
          <w:lang w:eastAsia="zh-CN"/>
        </w:rPr>
        <w:t xml:space="preserve"> </w:t>
      </w:r>
      <w:r w:rsidRPr="00DC0382">
        <w:rPr>
          <w:rFonts w:eastAsiaTheme="minorEastAsia"/>
          <w:sz w:val="28"/>
          <w:szCs w:val="28"/>
          <w:lang w:eastAsia="zh-CN"/>
        </w:rPr>
        <w:t>Н. Суворов</w:t>
      </w:r>
      <w:r w:rsidR="00D1382C" w:rsidRPr="00DC0382">
        <w:rPr>
          <w:rFonts w:eastAsiaTheme="minorEastAsia"/>
          <w:sz w:val="28"/>
          <w:szCs w:val="28"/>
          <w:lang w:eastAsia="zh-CN"/>
        </w:rPr>
        <w:t xml:space="preserve"> </w:t>
      </w:r>
      <w:r w:rsidRPr="00DC0382">
        <w:rPr>
          <w:rFonts w:eastAsiaTheme="minorEastAsia"/>
          <w:sz w:val="28"/>
          <w:szCs w:val="28"/>
          <w:lang w:eastAsia="zh-CN"/>
        </w:rPr>
        <w:t>// Педиатрия.</w:t>
      </w:r>
      <w:r w:rsidR="007B332A" w:rsidRPr="00DC0382">
        <w:rPr>
          <w:rFonts w:eastAsiaTheme="minorEastAsia"/>
          <w:sz w:val="28"/>
          <w:szCs w:val="28"/>
          <w:lang w:eastAsia="zh-CN"/>
        </w:rPr>
        <w:t xml:space="preserve"> ― </w:t>
      </w:r>
      <w:r w:rsidRPr="00DC0382">
        <w:rPr>
          <w:rFonts w:eastAsiaTheme="minorEastAsia"/>
          <w:sz w:val="28"/>
          <w:szCs w:val="28"/>
          <w:lang w:eastAsia="zh-CN"/>
        </w:rPr>
        <w:t>2007.</w:t>
      </w:r>
      <w:r w:rsidR="007B332A" w:rsidRPr="00DC0382">
        <w:rPr>
          <w:rFonts w:eastAsiaTheme="minorEastAsia"/>
          <w:sz w:val="28"/>
          <w:szCs w:val="28"/>
          <w:lang w:eastAsia="zh-CN"/>
        </w:rPr>
        <w:t xml:space="preserve"> ― </w:t>
      </w:r>
      <w:r w:rsidR="001C20A4" w:rsidRPr="00DC0382">
        <w:rPr>
          <w:rFonts w:eastAsiaTheme="minorEastAsia"/>
          <w:sz w:val="28"/>
          <w:szCs w:val="28"/>
          <w:lang w:eastAsia="zh-CN"/>
        </w:rPr>
        <w:t xml:space="preserve">Т. 86, </w:t>
      </w:r>
      <w:r w:rsidRPr="00DC0382">
        <w:rPr>
          <w:rFonts w:eastAsiaTheme="minorEastAsia"/>
          <w:sz w:val="28"/>
          <w:szCs w:val="28"/>
          <w:lang w:eastAsia="zh-CN"/>
        </w:rPr>
        <w:t>№ 5.</w:t>
      </w:r>
      <w:r w:rsidR="007B332A" w:rsidRPr="00DC0382">
        <w:rPr>
          <w:rFonts w:eastAsiaTheme="minorEastAsia"/>
          <w:sz w:val="28"/>
          <w:szCs w:val="28"/>
          <w:lang w:eastAsia="zh-CN"/>
        </w:rPr>
        <w:t xml:space="preserve"> ― </w:t>
      </w:r>
      <w:r w:rsidRPr="00DC0382">
        <w:rPr>
          <w:rFonts w:eastAsiaTheme="minorEastAsia"/>
          <w:sz w:val="28"/>
          <w:szCs w:val="28"/>
          <w:lang w:eastAsia="zh-CN"/>
        </w:rPr>
        <w:t>С. 28</w:t>
      </w:r>
      <w:r w:rsidR="007B332A" w:rsidRPr="00DC0382">
        <w:rPr>
          <w:rFonts w:eastAsiaTheme="minorEastAsia"/>
          <w:sz w:val="28"/>
          <w:szCs w:val="28"/>
          <w:lang w:eastAsia="zh-CN"/>
        </w:rPr>
        <w:t>–</w:t>
      </w:r>
      <w:r w:rsidRPr="00DC0382">
        <w:rPr>
          <w:rFonts w:eastAsiaTheme="minorEastAsia"/>
          <w:sz w:val="28"/>
          <w:szCs w:val="28"/>
          <w:lang w:eastAsia="zh-CN"/>
        </w:rPr>
        <w:t>32.</w:t>
      </w:r>
      <w:bookmarkEnd w:id="7"/>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eastAsia="zh-CN"/>
        </w:rPr>
      </w:pPr>
      <w:bookmarkStart w:id="8" w:name="_Ref381462305"/>
      <w:r w:rsidRPr="00DC0382">
        <w:rPr>
          <w:rFonts w:eastAsiaTheme="minorEastAsia"/>
          <w:sz w:val="28"/>
          <w:szCs w:val="28"/>
          <w:lang w:eastAsia="zh-CN"/>
        </w:rPr>
        <w:lastRenderedPageBreak/>
        <w:t xml:space="preserve">Схемы </w:t>
      </w:r>
      <w:proofErr w:type="spellStart"/>
      <w:r w:rsidRPr="00DC0382">
        <w:rPr>
          <w:rFonts w:eastAsiaTheme="minorEastAsia"/>
          <w:sz w:val="28"/>
          <w:szCs w:val="28"/>
          <w:lang w:eastAsia="zh-CN"/>
        </w:rPr>
        <w:t>эрадикации</w:t>
      </w:r>
      <w:proofErr w:type="spellEnd"/>
      <w:r w:rsidRPr="00DC0382">
        <w:rPr>
          <w:rFonts w:eastAsiaTheme="minorEastAsia"/>
          <w:sz w:val="28"/>
          <w:szCs w:val="28"/>
          <w:lang w:eastAsia="zh-CN"/>
        </w:rPr>
        <w:t xml:space="preserve"> штаммов </w:t>
      </w:r>
      <w:proofErr w:type="spellStart"/>
      <w:r w:rsidRPr="00DC0382">
        <w:rPr>
          <w:rFonts w:eastAsiaTheme="minorEastAsia"/>
          <w:sz w:val="28"/>
          <w:szCs w:val="28"/>
          <w:lang w:eastAsia="zh-CN"/>
        </w:rPr>
        <w:t>Helicobacter</w:t>
      </w:r>
      <w:proofErr w:type="spellEnd"/>
      <w:r w:rsidR="001C20A4" w:rsidRPr="00DC0382">
        <w:rPr>
          <w:rFonts w:eastAsiaTheme="minorEastAsia"/>
          <w:sz w:val="28"/>
          <w:szCs w:val="28"/>
          <w:lang w:eastAsia="zh-CN"/>
        </w:rPr>
        <w:t xml:space="preserve"> </w:t>
      </w:r>
      <w:proofErr w:type="spellStart"/>
      <w:r w:rsidRPr="00DC0382">
        <w:rPr>
          <w:rFonts w:eastAsiaTheme="minorEastAsia"/>
          <w:sz w:val="28"/>
          <w:szCs w:val="28"/>
          <w:lang w:eastAsia="zh-CN"/>
        </w:rPr>
        <w:t>pylori</w:t>
      </w:r>
      <w:proofErr w:type="spellEnd"/>
      <w:r w:rsidRPr="00DC0382">
        <w:rPr>
          <w:rFonts w:eastAsiaTheme="minorEastAsia"/>
          <w:sz w:val="28"/>
          <w:szCs w:val="28"/>
          <w:lang w:eastAsia="zh-CN"/>
        </w:rPr>
        <w:t xml:space="preserve">, резистентных к </w:t>
      </w:r>
      <w:proofErr w:type="spellStart"/>
      <w:r w:rsidRPr="00DC0382">
        <w:rPr>
          <w:rFonts w:eastAsiaTheme="minorEastAsia"/>
          <w:sz w:val="28"/>
          <w:szCs w:val="28"/>
          <w:lang w:eastAsia="zh-CN"/>
        </w:rPr>
        <w:t>метронидазолу</w:t>
      </w:r>
      <w:proofErr w:type="spellEnd"/>
      <w:r w:rsidRPr="00DC0382">
        <w:rPr>
          <w:rFonts w:eastAsiaTheme="minorEastAsia"/>
          <w:sz w:val="28"/>
          <w:szCs w:val="28"/>
          <w:lang w:eastAsia="zh-CN"/>
        </w:rPr>
        <w:t xml:space="preserve"> у детей / П.</w:t>
      </w:r>
      <w:r w:rsidR="001C20A4" w:rsidRPr="00DC0382">
        <w:rPr>
          <w:rFonts w:eastAsiaTheme="minorEastAsia"/>
          <w:sz w:val="28"/>
          <w:szCs w:val="28"/>
          <w:lang w:eastAsia="zh-CN"/>
        </w:rPr>
        <w:t xml:space="preserve"> </w:t>
      </w:r>
      <w:r w:rsidRPr="00DC0382">
        <w:rPr>
          <w:rFonts w:eastAsiaTheme="minorEastAsia"/>
          <w:sz w:val="28"/>
          <w:szCs w:val="28"/>
          <w:lang w:eastAsia="zh-CN"/>
        </w:rPr>
        <w:t>Л. Щербаков, А.</w:t>
      </w:r>
      <w:r w:rsidR="001C20A4" w:rsidRPr="00DC0382">
        <w:rPr>
          <w:rFonts w:eastAsiaTheme="minorEastAsia"/>
          <w:sz w:val="28"/>
          <w:szCs w:val="28"/>
          <w:lang w:eastAsia="zh-CN"/>
        </w:rPr>
        <w:t xml:space="preserve"> </w:t>
      </w:r>
      <w:r w:rsidRPr="00DC0382">
        <w:rPr>
          <w:rFonts w:eastAsiaTheme="minorEastAsia"/>
          <w:sz w:val="28"/>
          <w:szCs w:val="28"/>
          <w:lang w:eastAsia="zh-CN"/>
        </w:rPr>
        <w:t>С. Потапов, Е.</w:t>
      </w:r>
      <w:r w:rsidR="001C20A4" w:rsidRPr="00DC0382">
        <w:rPr>
          <w:rFonts w:eastAsiaTheme="minorEastAsia"/>
          <w:sz w:val="28"/>
          <w:szCs w:val="28"/>
          <w:lang w:eastAsia="zh-CN"/>
        </w:rPr>
        <w:t xml:space="preserve"> </w:t>
      </w:r>
      <w:r w:rsidRPr="00DC0382">
        <w:rPr>
          <w:rFonts w:eastAsiaTheme="minorEastAsia"/>
          <w:sz w:val="28"/>
          <w:szCs w:val="28"/>
          <w:lang w:eastAsia="zh-CN"/>
        </w:rPr>
        <w:t>С. Дублина [и др.] // Вопросы современной педиатрии.</w:t>
      </w:r>
      <w:r w:rsidR="007B332A" w:rsidRPr="00DC0382">
        <w:rPr>
          <w:rFonts w:eastAsiaTheme="minorEastAsia"/>
          <w:sz w:val="28"/>
          <w:szCs w:val="28"/>
          <w:lang w:eastAsia="zh-CN"/>
        </w:rPr>
        <w:t xml:space="preserve"> ― </w:t>
      </w:r>
      <w:r w:rsidRPr="00DC0382">
        <w:rPr>
          <w:rFonts w:eastAsiaTheme="minorEastAsia"/>
          <w:sz w:val="28"/>
          <w:szCs w:val="28"/>
          <w:lang w:eastAsia="zh-CN"/>
        </w:rPr>
        <w:t>2007.</w:t>
      </w:r>
      <w:r w:rsidR="007B332A" w:rsidRPr="00DC0382">
        <w:rPr>
          <w:rFonts w:eastAsiaTheme="minorEastAsia"/>
          <w:sz w:val="28"/>
          <w:szCs w:val="28"/>
          <w:lang w:eastAsia="zh-CN"/>
        </w:rPr>
        <w:t xml:space="preserve"> ― </w:t>
      </w:r>
      <w:r w:rsidRPr="00DC0382">
        <w:rPr>
          <w:rFonts w:eastAsiaTheme="minorEastAsia"/>
          <w:sz w:val="28"/>
          <w:szCs w:val="28"/>
          <w:lang w:eastAsia="zh-CN"/>
        </w:rPr>
        <w:t>Т. 6, № 5.</w:t>
      </w:r>
      <w:r w:rsidR="007B332A" w:rsidRPr="00DC0382">
        <w:rPr>
          <w:rFonts w:eastAsiaTheme="minorEastAsia"/>
          <w:sz w:val="28"/>
          <w:szCs w:val="28"/>
          <w:lang w:eastAsia="zh-CN"/>
        </w:rPr>
        <w:t xml:space="preserve"> ― </w:t>
      </w:r>
      <w:r w:rsidRPr="00DC0382">
        <w:rPr>
          <w:rFonts w:eastAsiaTheme="minorEastAsia"/>
          <w:sz w:val="28"/>
          <w:szCs w:val="28"/>
          <w:lang w:eastAsia="zh-CN"/>
        </w:rPr>
        <w:t>C. 100</w:t>
      </w:r>
      <w:r w:rsidR="007B332A" w:rsidRPr="00DC0382">
        <w:rPr>
          <w:rFonts w:eastAsiaTheme="minorEastAsia"/>
          <w:sz w:val="28"/>
          <w:szCs w:val="28"/>
          <w:lang w:eastAsia="zh-CN"/>
        </w:rPr>
        <w:t>–</w:t>
      </w:r>
      <w:r w:rsidRPr="00DC0382">
        <w:rPr>
          <w:rFonts w:eastAsiaTheme="minorEastAsia"/>
          <w:sz w:val="28"/>
          <w:szCs w:val="28"/>
          <w:lang w:eastAsia="zh-CN"/>
        </w:rPr>
        <w:t>104.</w:t>
      </w:r>
      <w:bookmarkEnd w:id="8"/>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eastAsia="zh-CN"/>
        </w:rPr>
      </w:pPr>
      <w:bookmarkStart w:id="9" w:name="_Ref381462345"/>
      <w:proofErr w:type="spellStart"/>
      <w:r w:rsidRPr="00DC0382">
        <w:rPr>
          <w:rFonts w:eastAsiaTheme="minorEastAsia"/>
          <w:sz w:val="28"/>
          <w:szCs w:val="28"/>
          <w:lang w:eastAsia="zh-CN"/>
        </w:rPr>
        <w:t>Файзуллина</w:t>
      </w:r>
      <w:proofErr w:type="spellEnd"/>
      <w:r w:rsidRPr="00DC0382">
        <w:rPr>
          <w:rFonts w:eastAsiaTheme="minorEastAsia"/>
          <w:sz w:val="28"/>
          <w:szCs w:val="28"/>
          <w:lang w:eastAsia="zh-CN"/>
        </w:rPr>
        <w:t xml:space="preserve"> Р.</w:t>
      </w:r>
      <w:r w:rsidR="001C20A4" w:rsidRPr="00DC0382">
        <w:rPr>
          <w:rFonts w:eastAsiaTheme="minorEastAsia"/>
          <w:sz w:val="28"/>
          <w:szCs w:val="28"/>
          <w:lang w:eastAsia="zh-CN"/>
        </w:rPr>
        <w:t xml:space="preserve"> </w:t>
      </w:r>
      <w:r w:rsidRPr="00DC0382">
        <w:rPr>
          <w:rFonts w:eastAsiaTheme="minorEastAsia"/>
          <w:sz w:val="28"/>
          <w:szCs w:val="28"/>
          <w:lang w:eastAsia="zh-CN"/>
        </w:rPr>
        <w:t xml:space="preserve">А. Факторы патогенности и вирулентности </w:t>
      </w:r>
      <w:proofErr w:type="spellStart"/>
      <w:r w:rsidRPr="00DC0382">
        <w:rPr>
          <w:rFonts w:eastAsiaTheme="minorEastAsia"/>
          <w:sz w:val="28"/>
          <w:szCs w:val="28"/>
          <w:lang w:eastAsia="zh-CN"/>
        </w:rPr>
        <w:t>Helicobacter</w:t>
      </w:r>
      <w:proofErr w:type="spellEnd"/>
      <w:r w:rsidR="001C20A4" w:rsidRPr="00DC0382">
        <w:rPr>
          <w:rFonts w:eastAsiaTheme="minorEastAsia"/>
          <w:sz w:val="28"/>
          <w:szCs w:val="28"/>
          <w:lang w:eastAsia="zh-CN"/>
        </w:rPr>
        <w:t xml:space="preserve"> </w:t>
      </w:r>
      <w:proofErr w:type="spellStart"/>
      <w:r w:rsidRPr="00DC0382">
        <w:rPr>
          <w:rFonts w:eastAsiaTheme="minorEastAsia"/>
          <w:sz w:val="28"/>
          <w:szCs w:val="28"/>
          <w:lang w:eastAsia="zh-CN"/>
        </w:rPr>
        <w:t>pylori</w:t>
      </w:r>
      <w:proofErr w:type="spellEnd"/>
      <w:r w:rsidRPr="00DC0382">
        <w:rPr>
          <w:rFonts w:eastAsiaTheme="minorEastAsia"/>
          <w:sz w:val="28"/>
          <w:szCs w:val="28"/>
          <w:lang w:eastAsia="zh-CN"/>
        </w:rPr>
        <w:t xml:space="preserve"> и их роль в развитии </w:t>
      </w:r>
      <w:proofErr w:type="spellStart"/>
      <w:r w:rsidRPr="00DC0382">
        <w:rPr>
          <w:rFonts w:eastAsiaTheme="minorEastAsia"/>
          <w:sz w:val="28"/>
          <w:szCs w:val="28"/>
          <w:lang w:eastAsia="zh-CN"/>
        </w:rPr>
        <w:t>хеликобактер</w:t>
      </w:r>
      <w:r w:rsidR="001C20A4" w:rsidRPr="00DC0382">
        <w:rPr>
          <w:rFonts w:eastAsiaTheme="minorEastAsia"/>
          <w:sz w:val="28"/>
          <w:szCs w:val="28"/>
          <w:lang w:eastAsia="zh-CN"/>
        </w:rPr>
        <w:t>-</w:t>
      </w:r>
      <w:r w:rsidRPr="00DC0382">
        <w:rPr>
          <w:rFonts w:eastAsiaTheme="minorEastAsia"/>
          <w:sz w:val="28"/>
          <w:szCs w:val="28"/>
          <w:lang w:eastAsia="zh-CN"/>
        </w:rPr>
        <w:t>ассоциированной</w:t>
      </w:r>
      <w:proofErr w:type="spellEnd"/>
      <w:r w:rsidRPr="00DC0382">
        <w:rPr>
          <w:rFonts w:eastAsiaTheme="minorEastAsia"/>
          <w:sz w:val="28"/>
          <w:szCs w:val="28"/>
          <w:lang w:eastAsia="zh-CN"/>
        </w:rPr>
        <w:t xml:space="preserve"> </w:t>
      </w:r>
      <w:proofErr w:type="spellStart"/>
      <w:r w:rsidRPr="00DC0382">
        <w:rPr>
          <w:rFonts w:eastAsiaTheme="minorEastAsia"/>
          <w:sz w:val="28"/>
          <w:szCs w:val="28"/>
          <w:lang w:eastAsia="zh-CN"/>
        </w:rPr>
        <w:t>гастродуоденальной</w:t>
      </w:r>
      <w:proofErr w:type="spellEnd"/>
      <w:r w:rsidRPr="00DC0382">
        <w:rPr>
          <w:rFonts w:eastAsiaTheme="minorEastAsia"/>
          <w:sz w:val="28"/>
          <w:szCs w:val="28"/>
          <w:lang w:eastAsia="zh-CN"/>
        </w:rPr>
        <w:t xml:space="preserve"> патологии / Р.</w:t>
      </w:r>
      <w:r w:rsidR="001C20A4" w:rsidRPr="00DC0382">
        <w:rPr>
          <w:rFonts w:eastAsiaTheme="minorEastAsia"/>
          <w:sz w:val="28"/>
          <w:szCs w:val="28"/>
          <w:lang w:eastAsia="zh-CN"/>
        </w:rPr>
        <w:t xml:space="preserve"> </w:t>
      </w:r>
      <w:r w:rsidRPr="00DC0382">
        <w:rPr>
          <w:rFonts w:eastAsiaTheme="minorEastAsia"/>
          <w:sz w:val="28"/>
          <w:szCs w:val="28"/>
          <w:lang w:eastAsia="zh-CN"/>
        </w:rPr>
        <w:t xml:space="preserve">А. </w:t>
      </w:r>
      <w:proofErr w:type="spellStart"/>
      <w:r w:rsidRPr="00DC0382">
        <w:rPr>
          <w:rFonts w:eastAsiaTheme="minorEastAsia"/>
          <w:sz w:val="28"/>
          <w:szCs w:val="28"/>
          <w:lang w:eastAsia="zh-CN"/>
        </w:rPr>
        <w:t>Файзуллина</w:t>
      </w:r>
      <w:proofErr w:type="spellEnd"/>
      <w:r w:rsidRPr="00DC0382">
        <w:rPr>
          <w:rFonts w:eastAsiaTheme="minorEastAsia"/>
          <w:sz w:val="28"/>
          <w:szCs w:val="28"/>
          <w:lang w:eastAsia="zh-CN"/>
        </w:rPr>
        <w:t>, Е.</w:t>
      </w:r>
      <w:r w:rsidR="001C20A4" w:rsidRPr="00DC0382">
        <w:rPr>
          <w:rFonts w:eastAsiaTheme="minorEastAsia"/>
          <w:sz w:val="28"/>
          <w:szCs w:val="28"/>
          <w:lang w:eastAsia="zh-CN"/>
        </w:rPr>
        <w:t xml:space="preserve"> </w:t>
      </w:r>
      <w:r w:rsidRPr="00DC0382">
        <w:rPr>
          <w:rFonts w:eastAsiaTheme="minorEastAsia"/>
          <w:sz w:val="28"/>
          <w:szCs w:val="28"/>
          <w:lang w:eastAsia="zh-CN"/>
        </w:rPr>
        <w:t>В. Абдуллина // Практическая медицина.</w:t>
      </w:r>
      <w:r w:rsidR="007B332A" w:rsidRPr="00DC0382">
        <w:rPr>
          <w:rFonts w:eastAsiaTheme="minorEastAsia"/>
          <w:sz w:val="28"/>
          <w:szCs w:val="28"/>
          <w:lang w:eastAsia="zh-CN"/>
        </w:rPr>
        <w:t xml:space="preserve"> ― </w:t>
      </w:r>
      <w:r w:rsidRPr="00DC0382">
        <w:rPr>
          <w:rFonts w:eastAsiaTheme="minorEastAsia"/>
          <w:sz w:val="28"/>
          <w:szCs w:val="28"/>
          <w:lang w:eastAsia="zh-CN"/>
        </w:rPr>
        <w:t>2011.</w:t>
      </w:r>
      <w:r w:rsidR="007B332A" w:rsidRPr="00DC0382">
        <w:rPr>
          <w:rFonts w:eastAsiaTheme="minorEastAsia"/>
          <w:sz w:val="28"/>
          <w:szCs w:val="28"/>
          <w:lang w:eastAsia="zh-CN"/>
        </w:rPr>
        <w:t xml:space="preserve"> ― </w:t>
      </w:r>
      <w:r w:rsidRPr="00DC0382">
        <w:rPr>
          <w:rFonts w:eastAsiaTheme="minorEastAsia"/>
          <w:sz w:val="28"/>
          <w:szCs w:val="28"/>
          <w:lang w:eastAsia="zh-CN"/>
        </w:rPr>
        <w:t>№ 1 (49).</w:t>
      </w:r>
      <w:r w:rsidR="007B332A" w:rsidRPr="00DC0382">
        <w:rPr>
          <w:rFonts w:eastAsiaTheme="minorEastAsia"/>
          <w:sz w:val="28"/>
          <w:szCs w:val="28"/>
          <w:lang w:eastAsia="zh-CN"/>
        </w:rPr>
        <w:t xml:space="preserve"> ― </w:t>
      </w:r>
      <w:r w:rsidRPr="00DC0382">
        <w:rPr>
          <w:rFonts w:eastAsiaTheme="minorEastAsia"/>
          <w:sz w:val="28"/>
          <w:szCs w:val="28"/>
          <w:lang w:eastAsia="zh-CN"/>
        </w:rPr>
        <w:t>С. 74</w:t>
      </w:r>
      <w:r w:rsidR="007B332A" w:rsidRPr="00DC0382">
        <w:rPr>
          <w:rFonts w:eastAsiaTheme="minorEastAsia"/>
          <w:sz w:val="28"/>
          <w:szCs w:val="28"/>
          <w:lang w:eastAsia="zh-CN"/>
        </w:rPr>
        <w:t>–</w:t>
      </w:r>
      <w:r w:rsidRPr="00DC0382">
        <w:rPr>
          <w:rFonts w:eastAsiaTheme="minorEastAsia"/>
          <w:sz w:val="28"/>
          <w:szCs w:val="28"/>
          <w:lang w:eastAsia="zh-CN"/>
        </w:rPr>
        <w:t>78.</w:t>
      </w:r>
      <w:bookmarkEnd w:id="9"/>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eastAsia="zh-CN"/>
        </w:rPr>
      </w:pPr>
      <w:bookmarkStart w:id="10" w:name="_Ref381462310"/>
      <w:r w:rsidRPr="00DC0382">
        <w:rPr>
          <w:rFonts w:eastAsiaTheme="minorEastAsia"/>
          <w:sz w:val="28"/>
          <w:szCs w:val="28"/>
          <w:lang w:eastAsia="zh-CN"/>
        </w:rPr>
        <w:t>Хавкин А.</w:t>
      </w:r>
      <w:r w:rsidR="001C20A4" w:rsidRPr="00DC0382">
        <w:rPr>
          <w:rFonts w:eastAsiaTheme="minorEastAsia"/>
          <w:sz w:val="28"/>
          <w:szCs w:val="28"/>
          <w:lang w:eastAsia="zh-CN"/>
        </w:rPr>
        <w:t xml:space="preserve"> </w:t>
      </w:r>
      <w:r w:rsidRPr="00DC0382">
        <w:rPr>
          <w:rFonts w:eastAsiaTheme="minorEastAsia"/>
          <w:sz w:val="28"/>
          <w:szCs w:val="28"/>
          <w:lang w:eastAsia="zh-CN"/>
        </w:rPr>
        <w:t xml:space="preserve">И. Современные принципы </w:t>
      </w:r>
      <w:proofErr w:type="spellStart"/>
      <w:r w:rsidRPr="00DC0382">
        <w:rPr>
          <w:rFonts w:eastAsiaTheme="minorEastAsia"/>
          <w:sz w:val="28"/>
          <w:szCs w:val="28"/>
          <w:lang w:eastAsia="zh-CN"/>
        </w:rPr>
        <w:t>анти</w:t>
      </w:r>
      <w:r w:rsidR="001C20A4" w:rsidRPr="00DC0382">
        <w:rPr>
          <w:rFonts w:eastAsiaTheme="minorEastAsia"/>
          <w:sz w:val="28"/>
          <w:szCs w:val="28"/>
          <w:lang w:eastAsia="zh-CN"/>
        </w:rPr>
        <w:t>хеликобактерной</w:t>
      </w:r>
      <w:proofErr w:type="spellEnd"/>
      <w:r w:rsidR="001C20A4" w:rsidRPr="00DC0382">
        <w:rPr>
          <w:rFonts w:eastAsiaTheme="minorEastAsia"/>
          <w:sz w:val="28"/>
          <w:szCs w:val="28"/>
          <w:lang w:eastAsia="zh-CN"/>
        </w:rPr>
        <w:t xml:space="preserve"> терапии у детей </w:t>
      </w:r>
      <w:r w:rsidRPr="00DC0382">
        <w:rPr>
          <w:rFonts w:eastAsiaTheme="minorEastAsia"/>
          <w:sz w:val="28"/>
          <w:szCs w:val="28"/>
          <w:lang w:eastAsia="zh-CN"/>
        </w:rPr>
        <w:t>/ А.</w:t>
      </w:r>
      <w:r w:rsidR="001C20A4" w:rsidRPr="00DC0382">
        <w:rPr>
          <w:rFonts w:eastAsiaTheme="minorEastAsia"/>
          <w:sz w:val="28"/>
          <w:szCs w:val="28"/>
          <w:lang w:eastAsia="zh-CN"/>
        </w:rPr>
        <w:t xml:space="preserve"> </w:t>
      </w:r>
      <w:r w:rsidRPr="00DC0382">
        <w:rPr>
          <w:rFonts w:eastAsiaTheme="minorEastAsia"/>
          <w:sz w:val="28"/>
          <w:szCs w:val="28"/>
          <w:lang w:eastAsia="zh-CN"/>
        </w:rPr>
        <w:t>И. Хавкин, Н.</w:t>
      </w:r>
      <w:r w:rsidR="001C20A4" w:rsidRPr="00DC0382">
        <w:rPr>
          <w:rFonts w:eastAsiaTheme="minorEastAsia"/>
          <w:sz w:val="28"/>
          <w:szCs w:val="28"/>
          <w:lang w:eastAsia="zh-CN"/>
        </w:rPr>
        <w:t xml:space="preserve"> </w:t>
      </w:r>
      <w:r w:rsidRPr="00DC0382">
        <w:rPr>
          <w:rFonts w:eastAsiaTheme="minorEastAsia"/>
          <w:sz w:val="28"/>
          <w:szCs w:val="28"/>
          <w:lang w:eastAsia="zh-CN"/>
        </w:rPr>
        <w:t>С. Жихарева // Рус</w:t>
      </w:r>
      <w:proofErr w:type="gramStart"/>
      <w:r w:rsidR="001C20A4" w:rsidRPr="00DC0382">
        <w:rPr>
          <w:rFonts w:eastAsiaTheme="minorEastAsia"/>
          <w:sz w:val="28"/>
          <w:szCs w:val="28"/>
          <w:lang w:eastAsia="zh-CN"/>
        </w:rPr>
        <w:t>.</w:t>
      </w:r>
      <w:proofErr w:type="gramEnd"/>
      <w:r w:rsidRPr="00DC0382">
        <w:rPr>
          <w:rFonts w:eastAsiaTheme="minorEastAsia"/>
          <w:sz w:val="28"/>
          <w:szCs w:val="28"/>
          <w:lang w:eastAsia="zh-CN"/>
        </w:rPr>
        <w:t xml:space="preserve"> </w:t>
      </w:r>
      <w:proofErr w:type="gramStart"/>
      <w:r w:rsidRPr="00DC0382">
        <w:rPr>
          <w:rFonts w:eastAsiaTheme="minorEastAsia"/>
          <w:sz w:val="28"/>
          <w:szCs w:val="28"/>
          <w:lang w:eastAsia="zh-CN"/>
        </w:rPr>
        <w:t>м</w:t>
      </w:r>
      <w:proofErr w:type="gramEnd"/>
      <w:r w:rsidRPr="00DC0382">
        <w:rPr>
          <w:rFonts w:eastAsiaTheme="minorEastAsia"/>
          <w:sz w:val="28"/>
          <w:szCs w:val="28"/>
          <w:lang w:eastAsia="zh-CN"/>
        </w:rPr>
        <w:t>ед</w:t>
      </w:r>
      <w:r w:rsidR="001C20A4" w:rsidRPr="00DC0382">
        <w:rPr>
          <w:rFonts w:eastAsiaTheme="minorEastAsia"/>
          <w:sz w:val="28"/>
          <w:szCs w:val="28"/>
          <w:lang w:eastAsia="zh-CN"/>
        </w:rPr>
        <w:t>.</w:t>
      </w:r>
      <w:r w:rsidRPr="00DC0382">
        <w:rPr>
          <w:rFonts w:eastAsiaTheme="minorEastAsia"/>
          <w:sz w:val="28"/>
          <w:szCs w:val="28"/>
          <w:lang w:eastAsia="zh-CN"/>
        </w:rPr>
        <w:t xml:space="preserve"> журн.</w:t>
      </w:r>
      <w:r w:rsidR="007B332A" w:rsidRPr="00DC0382">
        <w:rPr>
          <w:rFonts w:eastAsiaTheme="minorEastAsia"/>
          <w:sz w:val="28"/>
          <w:szCs w:val="28"/>
          <w:lang w:eastAsia="zh-CN"/>
        </w:rPr>
        <w:t xml:space="preserve"> ― </w:t>
      </w:r>
      <w:r w:rsidRPr="00DC0382">
        <w:rPr>
          <w:rFonts w:eastAsiaTheme="minorEastAsia"/>
          <w:sz w:val="28"/>
          <w:szCs w:val="28"/>
          <w:lang w:eastAsia="zh-CN"/>
        </w:rPr>
        <w:t>2005.</w:t>
      </w:r>
      <w:r w:rsidR="007B332A" w:rsidRPr="00DC0382">
        <w:rPr>
          <w:rFonts w:eastAsiaTheme="minorEastAsia"/>
          <w:sz w:val="28"/>
          <w:szCs w:val="28"/>
          <w:lang w:eastAsia="zh-CN"/>
        </w:rPr>
        <w:t xml:space="preserve"> ― </w:t>
      </w:r>
      <w:r w:rsidRPr="00DC0382">
        <w:rPr>
          <w:rFonts w:eastAsiaTheme="minorEastAsia"/>
          <w:sz w:val="28"/>
          <w:szCs w:val="28"/>
          <w:lang w:eastAsia="zh-CN"/>
        </w:rPr>
        <w:t>Т. 13, № 3.</w:t>
      </w:r>
      <w:r w:rsidR="007B332A" w:rsidRPr="00DC0382">
        <w:rPr>
          <w:rFonts w:eastAsiaTheme="minorEastAsia"/>
          <w:sz w:val="28"/>
          <w:szCs w:val="28"/>
          <w:lang w:eastAsia="zh-CN"/>
        </w:rPr>
        <w:t xml:space="preserve"> ― </w:t>
      </w:r>
      <w:r w:rsidRPr="00DC0382">
        <w:rPr>
          <w:rFonts w:eastAsiaTheme="minorEastAsia"/>
          <w:sz w:val="28"/>
          <w:szCs w:val="28"/>
          <w:lang w:eastAsia="zh-CN"/>
        </w:rPr>
        <w:t>С. 137</w:t>
      </w:r>
      <w:r w:rsidR="007B332A" w:rsidRPr="00DC0382">
        <w:rPr>
          <w:rFonts w:eastAsiaTheme="minorEastAsia"/>
          <w:sz w:val="28"/>
          <w:szCs w:val="28"/>
          <w:lang w:eastAsia="zh-CN"/>
        </w:rPr>
        <w:t>–</w:t>
      </w:r>
      <w:r w:rsidRPr="00DC0382">
        <w:rPr>
          <w:rFonts w:eastAsiaTheme="minorEastAsia"/>
          <w:sz w:val="28"/>
          <w:szCs w:val="28"/>
          <w:lang w:eastAsia="zh-CN"/>
        </w:rPr>
        <w:t>139.</w:t>
      </w:r>
      <w:bookmarkEnd w:id="10"/>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val="en-US" w:eastAsia="zh-CN"/>
        </w:rPr>
      </w:pPr>
      <w:bookmarkStart w:id="11" w:name="_Ref381462440"/>
      <w:r w:rsidRPr="00DC0382">
        <w:rPr>
          <w:rFonts w:eastAsiaTheme="minorEastAsia"/>
          <w:sz w:val="28"/>
          <w:szCs w:val="28"/>
          <w:lang w:val="en-US" w:eastAsia="zh-CN"/>
        </w:rPr>
        <w:t xml:space="preserve">Functional association between the Helicobacter pylori virulence factors </w:t>
      </w:r>
      <w:proofErr w:type="spellStart"/>
      <w:r w:rsidRPr="00DC0382">
        <w:rPr>
          <w:rFonts w:eastAsiaTheme="minorEastAsia"/>
          <w:sz w:val="28"/>
          <w:szCs w:val="28"/>
          <w:lang w:val="en-US" w:eastAsia="zh-CN"/>
        </w:rPr>
        <w:t>VacA</w:t>
      </w:r>
      <w:proofErr w:type="spellEnd"/>
      <w:r w:rsidRPr="00DC0382">
        <w:rPr>
          <w:rFonts w:eastAsiaTheme="minorEastAsia"/>
          <w:sz w:val="28"/>
          <w:szCs w:val="28"/>
          <w:lang w:val="en-US" w:eastAsia="zh-CN"/>
        </w:rPr>
        <w:t xml:space="preserve"> and </w:t>
      </w:r>
      <w:proofErr w:type="spellStart"/>
      <w:r w:rsidRPr="00DC0382">
        <w:rPr>
          <w:rFonts w:eastAsiaTheme="minorEastAsia"/>
          <w:sz w:val="28"/>
          <w:szCs w:val="28"/>
          <w:lang w:val="en-US" w:eastAsia="zh-CN"/>
        </w:rPr>
        <w:t>CagA</w:t>
      </w:r>
      <w:proofErr w:type="spellEnd"/>
      <w:r w:rsidRPr="00DC0382">
        <w:rPr>
          <w:rFonts w:eastAsiaTheme="minorEastAsia"/>
          <w:sz w:val="28"/>
          <w:szCs w:val="28"/>
          <w:lang w:val="en-US" w:eastAsia="zh-CN"/>
        </w:rPr>
        <w:t xml:space="preserve"> / R.</w:t>
      </w:r>
      <w:r w:rsidR="00750EC7" w:rsidRPr="00DC0382">
        <w:rPr>
          <w:rFonts w:eastAsiaTheme="minorEastAsia"/>
          <w:sz w:val="28"/>
          <w:szCs w:val="28"/>
          <w:lang w:val="en-US" w:eastAsia="zh-CN"/>
        </w:rPr>
        <w:t xml:space="preserve"> </w:t>
      </w:r>
      <w:r w:rsidRPr="00DC0382">
        <w:rPr>
          <w:rFonts w:eastAsiaTheme="minorEastAsia"/>
          <w:sz w:val="28"/>
          <w:szCs w:val="28"/>
          <w:lang w:val="en-US" w:eastAsia="zh-CN"/>
        </w:rPr>
        <w:t>H. Argent, R.</w:t>
      </w:r>
      <w:r w:rsidR="00750EC7" w:rsidRPr="00DC0382">
        <w:rPr>
          <w:rFonts w:eastAsiaTheme="minorEastAsia"/>
          <w:sz w:val="28"/>
          <w:szCs w:val="28"/>
          <w:lang w:val="en-US" w:eastAsia="zh-CN"/>
        </w:rPr>
        <w:t xml:space="preserve"> </w:t>
      </w:r>
      <w:r w:rsidRPr="00DC0382">
        <w:rPr>
          <w:rFonts w:eastAsiaTheme="minorEastAsia"/>
          <w:sz w:val="28"/>
          <w:szCs w:val="28"/>
          <w:lang w:val="en-US" w:eastAsia="zh-CN"/>
        </w:rPr>
        <w:t>J. Thomas, D.</w:t>
      </w:r>
      <w:r w:rsidR="00750EC7" w:rsidRPr="00DC0382">
        <w:rPr>
          <w:rFonts w:eastAsiaTheme="minorEastAsia"/>
          <w:sz w:val="28"/>
          <w:szCs w:val="28"/>
          <w:lang w:val="en-US" w:eastAsia="zh-CN"/>
        </w:rPr>
        <w:t xml:space="preserve"> </w:t>
      </w:r>
      <w:r w:rsidRPr="00DC0382">
        <w:rPr>
          <w:rFonts w:eastAsiaTheme="minorEastAsia"/>
          <w:sz w:val="28"/>
          <w:szCs w:val="28"/>
          <w:lang w:val="en-US" w:eastAsia="zh-CN"/>
        </w:rPr>
        <w:t xml:space="preserve">P. </w:t>
      </w:r>
      <w:proofErr w:type="spellStart"/>
      <w:r w:rsidRPr="00DC0382">
        <w:rPr>
          <w:rFonts w:eastAsiaTheme="minorEastAsia"/>
          <w:sz w:val="28"/>
          <w:szCs w:val="28"/>
          <w:lang w:val="en-US" w:eastAsia="zh-CN"/>
        </w:rPr>
        <w:t>Letley</w:t>
      </w:r>
      <w:proofErr w:type="spellEnd"/>
      <w:r w:rsidRPr="00DC0382">
        <w:rPr>
          <w:rFonts w:eastAsiaTheme="minorEastAsia"/>
          <w:sz w:val="28"/>
          <w:szCs w:val="28"/>
          <w:lang w:val="en-US" w:eastAsia="zh-CN"/>
        </w:rPr>
        <w:t xml:space="preserve"> [et al.] // Journal of Medical Microbiology.</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2008.</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Vol. 57.</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P. 145</w:t>
      </w:r>
      <w:r w:rsidR="007B332A" w:rsidRPr="00DC0382">
        <w:rPr>
          <w:rFonts w:eastAsiaTheme="minorEastAsia"/>
          <w:sz w:val="28"/>
          <w:szCs w:val="28"/>
          <w:lang w:val="en-US" w:eastAsia="zh-CN"/>
        </w:rPr>
        <w:t>–</w:t>
      </w:r>
      <w:r w:rsidRPr="00DC0382">
        <w:rPr>
          <w:rFonts w:eastAsiaTheme="minorEastAsia"/>
          <w:sz w:val="28"/>
          <w:szCs w:val="28"/>
          <w:lang w:val="en-US" w:eastAsia="zh-CN"/>
        </w:rPr>
        <w:t>150.</w:t>
      </w:r>
      <w:bookmarkEnd w:id="11"/>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val="en-US" w:eastAsia="zh-CN"/>
        </w:rPr>
      </w:pPr>
      <w:bookmarkStart w:id="12" w:name="_Ref381467043"/>
      <w:r w:rsidRPr="00DC0382">
        <w:rPr>
          <w:rFonts w:eastAsiaTheme="minorEastAsia"/>
          <w:sz w:val="28"/>
          <w:szCs w:val="28"/>
          <w:lang w:val="en-US" w:eastAsia="zh-CN"/>
        </w:rPr>
        <w:t xml:space="preserve">Intestinal </w:t>
      </w:r>
      <w:proofErr w:type="spellStart"/>
      <w:r w:rsidRPr="00DC0382">
        <w:rPr>
          <w:rFonts w:eastAsiaTheme="minorEastAsia"/>
          <w:sz w:val="28"/>
          <w:szCs w:val="28"/>
          <w:lang w:val="en-US" w:eastAsia="zh-CN"/>
        </w:rPr>
        <w:t>microbiota</w:t>
      </w:r>
      <w:proofErr w:type="spellEnd"/>
      <w:r w:rsidRPr="00DC0382">
        <w:rPr>
          <w:rFonts w:eastAsiaTheme="minorEastAsia"/>
          <w:sz w:val="28"/>
          <w:szCs w:val="28"/>
          <w:lang w:val="en-US" w:eastAsia="zh-CN"/>
        </w:rPr>
        <w:t xml:space="preserve"> in functional bowel </w:t>
      </w:r>
      <w:proofErr w:type="gramStart"/>
      <w:r w:rsidRPr="00DC0382">
        <w:rPr>
          <w:rFonts w:eastAsiaTheme="minorEastAsia"/>
          <w:sz w:val="28"/>
          <w:szCs w:val="28"/>
          <w:lang w:val="en-US" w:eastAsia="zh-CN"/>
        </w:rPr>
        <w:t>disorders</w:t>
      </w:r>
      <w:r w:rsidR="00750EC7" w:rsidRPr="00DC0382">
        <w:rPr>
          <w:rFonts w:eastAsiaTheme="minorEastAsia"/>
          <w:sz w:val="28"/>
          <w:szCs w:val="28"/>
          <w:lang w:val="en-US" w:eastAsia="zh-CN"/>
        </w:rPr>
        <w:t xml:space="preserve"> </w:t>
      </w:r>
      <w:r w:rsidRPr="00DC0382">
        <w:rPr>
          <w:rFonts w:eastAsiaTheme="minorEastAsia"/>
          <w:sz w:val="28"/>
          <w:szCs w:val="28"/>
          <w:lang w:val="en-US" w:eastAsia="zh-CN"/>
        </w:rPr>
        <w:t>:</w:t>
      </w:r>
      <w:proofErr w:type="gramEnd"/>
      <w:r w:rsidRPr="00DC0382">
        <w:rPr>
          <w:rFonts w:eastAsiaTheme="minorEastAsia"/>
          <w:sz w:val="28"/>
          <w:szCs w:val="28"/>
          <w:lang w:val="en-US" w:eastAsia="zh-CN"/>
        </w:rPr>
        <w:t xml:space="preserve"> a Rome foundation report / M. </w:t>
      </w:r>
      <w:proofErr w:type="spellStart"/>
      <w:r w:rsidRPr="00DC0382">
        <w:rPr>
          <w:rFonts w:eastAsiaTheme="minorEastAsia"/>
          <w:sz w:val="28"/>
          <w:szCs w:val="28"/>
          <w:lang w:val="en-US" w:eastAsia="zh-CN"/>
        </w:rPr>
        <w:t>Simrén</w:t>
      </w:r>
      <w:proofErr w:type="spellEnd"/>
      <w:r w:rsidRPr="00DC0382">
        <w:rPr>
          <w:rFonts w:eastAsiaTheme="minorEastAsia"/>
          <w:sz w:val="28"/>
          <w:szCs w:val="28"/>
          <w:lang w:val="en-US" w:eastAsia="zh-CN"/>
        </w:rPr>
        <w:t>, G. Barbara, H.</w:t>
      </w:r>
      <w:r w:rsidR="00750EC7" w:rsidRPr="00DC0382">
        <w:rPr>
          <w:rFonts w:eastAsiaTheme="minorEastAsia"/>
          <w:sz w:val="28"/>
          <w:szCs w:val="28"/>
          <w:lang w:val="en-US" w:eastAsia="zh-CN"/>
        </w:rPr>
        <w:t xml:space="preserve"> </w:t>
      </w:r>
      <w:r w:rsidRPr="00DC0382">
        <w:rPr>
          <w:rFonts w:eastAsiaTheme="minorEastAsia"/>
          <w:sz w:val="28"/>
          <w:szCs w:val="28"/>
          <w:lang w:val="en-US" w:eastAsia="zh-CN"/>
        </w:rPr>
        <w:t>J. Flint [et al.] // Gut.</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2013.</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 xml:space="preserve">Vol. 62, </w:t>
      </w:r>
      <w:r w:rsidR="00750EC7" w:rsidRPr="00DC0382">
        <w:rPr>
          <w:rFonts w:eastAsiaTheme="minorEastAsia"/>
          <w:sz w:val="28"/>
          <w:szCs w:val="28"/>
          <w:lang w:val="en-US" w:eastAsia="zh-CN"/>
        </w:rPr>
        <w:t>No</w:t>
      </w:r>
      <w:r w:rsidRPr="00DC0382">
        <w:rPr>
          <w:rFonts w:eastAsiaTheme="minorEastAsia"/>
          <w:sz w:val="28"/>
          <w:szCs w:val="28"/>
          <w:lang w:val="en-US" w:eastAsia="zh-CN"/>
        </w:rPr>
        <w:t xml:space="preserve"> 1.</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P. 159–176.</w:t>
      </w:r>
      <w:bookmarkEnd w:id="12"/>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val="en-US" w:eastAsia="zh-CN"/>
        </w:rPr>
      </w:pPr>
      <w:bookmarkStart w:id="13" w:name="_Ref381467201"/>
      <w:r w:rsidRPr="00DC0382">
        <w:rPr>
          <w:rFonts w:eastAsiaTheme="minorEastAsia"/>
          <w:sz w:val="28"/>
          <w:szCs w:val="28"/>
          <w:lang w:val="en-US" w:eastAsia="zh-CN"/>
        </w:rPr>
        <w:t>Hodgson J.</w:t>
      </w:r>
      <w:r w:rsidR="00750EC7" w:rsidRPr="00DC0382">
        <w:rPr>
          <w:rFonts w:eastAsiaTheme="minorEastAsia"/>
          <w:sz w:val="28"/>
          <w:szCs w:val="28"/>
          <w:lang w:val="en-US" w:eastAsia="zh-CN"/>
        </w:rPr>
        <w:t xml:space="preserve"> </w:t>
      </w:r>
      <w:r w:rsidRPr="00DC0382">
        <w:rPr>
          <w:rFonts w:eastAsiaTheme="minorEastAsia"/>
          <w:sz w:val="28"/>
          <w:szCs w:val="28"/>
          <w:lang w:val="en-US" w:eastAsia="zh-CN"/>
        </w:rPr>
        <w:t xml:space="preserve">C. </w:t>
      </w:r>
      <w:proofErr w:type="spellStart"/>
      <w:r w:rsidRPr="00DC0382">
        <w:rPr>
          <w:rFonts w:eastAsiaTheme="minorEastAsia"/>
          <w:sz w:val="28"/>
          <w:szCs w:val="28"/>
          <w:lang w:val="en-US" w:eastAsia="zh-CN"/>
        </w:rPr>
        <w:t>Endotoxin</w:t>
      </w:r>
      <w:proofErr w:type="spellEnd"/>
      <w:r w:rsidRPr="00DC0382">
        <w:rPr>
          <w:rFonts w:eastAsiaTheme="minorEastAsia"/>
          <w:sz w:val="28"/>
          <w:szCs w:val="28"/>
          <w:lang w:val="en-US" w:eastAsia="zh-CN"/>
        </w:rPr>
        <w:t xml:space="preserve"> and mammalian host responses during experimental disease / </w:t>
      </w:r>
      <w:r w:rsidR="00750EC7" w:rsidRPr="00DC0382">
        <w:rPr>
          <w:rFonts w:eastAsiaTheme="minorEastAsia"/>
          <w:sz w:val="28"/>
          <w:szCs w:val="28"/>
          <w:lang w:val="en-US" w:eastAsia="zh-CN"/>
        </w:rPr>
        <w:t xml:space="preserve">J. C. </w:t>
      </w:r>
      <w:r w:rsidRPr="00DC0382">
        <w:rPr>
          <w:rFonts w:eastAsiaTheme="minorEastAsia"/>
          <w:sz w:val="28"/>
          <w:szCs w:val="28"/>
          <w:lang w:val="en-US" w:eastAsia="zh-CN"/>
        </w:rPr>
        <w:t xml:space="preserve">Hodgson // J. Comp. </w:t>
      </w:r>
      <w:proofErr w:type="spellStart"/>
      <w:r w:rsidRPr="00DC0382">
        <w:rPr>
          <w:rFonts w:eastAsiaTheme="minorEastAsia"/>
          <w:sz w:val="28"/>
          <w:szCs w:val="28"/>
          <w:lang w:val="en-US" w:eastAsia="zh-CN"/>
        </w:rPr>
        <w:t>Pathol</w:t>
      </w:r>
      <w:proofErr w:type="spellEnd"/>
      <w:r w:rsidRPr="00DC0382">
        <w:rPr>
          <w:rFonts w:eastAsiaTheme="minorEastAsia"/>
          <w:sz w:val="28"/>
          <w:szCs w:val="28"/>
          <w:lang w:val="en-US" w:eastAsia="zh-CN"/>
        </w:rPr>
        <w:t>.</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2006.</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 xml:space="preserve">Vol. 135, </w:t>
      </w:r>
      <w:r w:rsidR="00750EC7" w:rsidRPr="00DC0382">
        <w:rPr>
          <w:rFonts w:eastAsiaTheme="minorEastAsia"/>
          <w:sz w:val="28"/>
          <w:szCs w:val="28"/>
          <w:lang w:val="en-US" w:eastAsia="zh-CN"/>
        </w:rPr>
        <w:t>No</w:t>
      </w:r>
      <w:r w:rsidRPr="00DC0382">
        <w:rPr>
          <w:rFonts w:eastAsiaTheme="minorEastAsia"/>
          <w:sz w:val="28"/>
          <w:szCs w:val="28"/>
          <w:lang w:val="en-US" w:eastAsia="zh-CN"/>
        </w:rPr>
        <w:t xml:space="preserve"> 4.</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P. 157–175.</w:t>
      </w:r>
      <w:bookmarkEnd w:id="13"/>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val="en-US" w:eastAsia="zh-CN"/>
        </w:rPr>
      </w:pPr>
      <w:bookmarkStart w:id="14" w:name="_Ref381462443"/>
      <w:r w:rsidRPr="00DC0382">
        <w:rPr>
          <w:rFonts w:eastAsiaTheme="minorEastAsia"/>
          <w:sz w:val="28"/>
          <w:szCs w:val="28"/>
          <w:lang w:val="en-US" w:eastAsia="zh-CN"/>
        </w:rPr>
        <w:t>Jones K.</w:t>
      </w:r>
      <w:r w:rsidR="00750EC7" w:rsidRPr="00DC0382">
        <w:rPr>
          <w:rFonts w:eastAsiaTheme="minorEastAsia"/>
          <w:sz w:val="28"/>
          <w:szCs w:val="28"/>
          <w:lang w:val="en-US" w:eastAsia="zh-CN"/>
        </w:rPr>
        <w:t xml:space="preserve"> </w:t>
      </w:r>
      <w:r w:rsidRPr="00DC0382">
        <w:rPr>
          <w:rFonts w:eastAsiaTheme="minorEastAsia"/>
          <w:sz w:val="28"/>
          <w:szCs w:val="28"/>
          <w:lang w:val="en-US" w:eastAsia="zh-CN"/>
        </w:rPr>
        <w:t xml:space="preserve">R. Polymorphisms in the intermediate region of </w:t>
      </w:r>
      <w:proofErr w:type="spellStart"/>
      <w:r w:rsidRPr="00DC0382">
        <w:rPr>
          <w:rFonts w:eastAsiaTheme="minorEastAsia"/>
          <w:sz w:val="28"/>
          <w:szCs w:val="28"/>
          <w:lang w:val="en-US" w:eastAsia="zh-CN"/>
        </w:rPr>
        <w:t>VacA</w:t>
      </w:r>
      <w:proofErr w:type="spellEnd"/>
      <w:r w:rsidRPr="00DC0382">
        <w:rPr>
          <w:rFonts w:eastAsiaTheme="minorEastAsia"/>
          <w:sz w:val="28"/>
          <w:szCs w:val="28"/>
          <w:lang w:val="en-US" w:eastAsia="zh-CN"/>
        </w:rPr>
        <w:t xml:space="preserve"> impact Helicobacter pylori</w:t>
      </w:r>
      <w:r w:rsidR="00750EC7" w:rsidRPr="00DC0382">
        <w:rPr>
          <w:rFonts w:eastAsiaTheme="minorEastAsia"/>
          <w:sz w:val="28"/>
          <w:szCs w:val="28"/>
          <w:lang w:val="en-US" w:eastAsia="zh-CN"/>
        </w:rPr>
        <w:t>-</w:t>
      </w:r>
      <w:r w:rsidRPr="00DC0382">
        <w:rPr>
          <w:rFonts w:eastAsiaTheme="minorEastAsia"/>
          <w:sz w:val="28"/>
          <w:szCs w:val="28"/>
          <w:lang w:val="en-US" w:eastAsia="zh-CN"/>
        </w:rPr>
        <w:t>induced disease development / K.</w:t>
      </w:r>
      <w:r w:rsidR="00750EC7" w:rsidRPr="00DC0382">
        <w:rPr>
          <w:rFonts w:eastAsiaTheme="minorEastAsia"/>
          <w:sz w:val="28"/>
          <w:szCs w:val="28"/>
          <w:lang w:val="en-US" w:eastAsia="zh-CN"/>
        </w:rPr>
        <w:t xml:space="preserve"> </w:t>
      </w:r>
      <w:r w:rsidRPr="00DC0382">
        <w:rPr>
          <w:rFonts w:eastAsiaTheme="minorEastAsia"/>
          <w:sz w:val="28"/>
          <w:szCs w:val="28"/>
          <w:lang w:val="en-US" w:eastAsia="zh-CN"/>
        </w:rPr>
        <w:t>R. Jones, S. Jang, J.</w:t>
      </w:r>
      <w:r w:rsidR="00750EC7" w:rsidRPr="00DC0382">
        <w:rPr>
          <w:rFonts w:eastAsiaTheme="minorEastAsia"/>
          <w:sz w:val="28"/>
          <w:szCs w:val="28"/>
          <w:lang w:val="en-US" w:eastAsia="zh-CN"/>
        </w:rPr>
        <w:t xml:space="preserve"> </w:t>
      </w:r>
      <w:r w:rsidRPr="00DC0382">
        <w:rPr>
          <w:rFonts w:eastAsiaTheme="minorEastAsia"/>
          <w:sz w:val="28"/>
          <w:szCs w:val="28"/>
          <w:lang w:val="en-US" w:eastAsia="zh-CN"/>
        </w:rPr>
        <w:t xml:space="preserve">Y. Chang // J. </w:t>
      </w:r>
      <w:proofErr w:type="spellStart"/>
      <w:r w:rsidRPr="00DC0382">
        <w:rPr>
          <w:rFonts w:eastAsiaTheme="minorEastAsia"/>
          <w:sz w:val="28"/>
          <w:szCs w:val="28"/>
          <w:lang w:val="en-US" w:eastAsia="zh-CN"/>
        </w:rPr>
        <w:t>Clin</w:t>
      </w:r>
      <w:proofErr w:type="spellEnd"/>
      <w:r w:rsidRPr="00DC0382">
        <w:rPr>
          <w:rFonts w:eastAsiaTheme="minorEastAsia"/>
          <w:sz w:val="28"/>
          <w:szCs w:val="28"/>
          <w:lang w:val="en-US" w:eastAsia="zh-CN"/>
        </w:rPr>
        <w:t xml:space="preserve">. </w:t>
      </w:r>
      <w:proofErr w:type="spellStart"/>
      <w:r w:rsidRPr="00DC0382">
        <w:rPr>
          <w:rFonts w:eastAsiaTheme="minorEastAsia"/>
          <w:sz w:val="28"/>
          <w:szCs w:val="28"/>
          <w:lang w:val="en-US" w:eastAsia="zh-CN"/>
        </w:rPr>
        <w:t>Microbiol</w:t>
      </w:r>
      <w:proofErr w:type="spellEnd"/>
      <w:r w:rsidRPr="00DC0382">
        <w:rPr>
          <w:rFonts w:eastAsiaTheme="minorEastAsia"/>
          <w:sz w:val="28"/>
          <w:szCs w:val="28"/>
          <w:lang w:val="en-US" w:eastAsia="zh-CN"/>
        </w:rPr>
        <w:t>.</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2011.</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 xml:space="preserve">Vol. 49, </w:t>
      </w:r>
      <w:r w:rsidR="00750EC7" w:rsidRPr="00DC0382">
        <w:rPr>
          <w:rFonts w:eastAsiaTheme="minorEastAsia"/>
          <w:sz w:val="28"/>
          <w:szCs w:val="28"/>
          <w:lang w:val="en-US" w:eastAsia="zh-CN"/>
        </w:rPr>
        <w:t>No</w:t>
      </w:r>
      <w:r w:rsidRPr="00DC0382">
        <w:rPr>
          <w:rFonts w:eastAsiaTheme="minorEastAsia"/>
          <w:sz w:val="28"/>
          <w:szCs w:val="28"/>
          <w:lang w:val="en-US" w:eastAsia="zh-CN"/>
        </w:rPr>
        <w:t xml:space="preserve"> 1.</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P. 101</w:t>
      </w:r>
      <w:r w:rsidR="007B332A" w:rsidRPr="00DC0382">
        <w:rPr>
          <w:rFonts w:eastAsiaTheme="minorEastAsia"/>
          <w:sz w:val="28"/>
          <w:szCs w:val="28"/>
          <w:lang w:val="en-US" w:eastAsia="zh-CN"/>
        </w:rPr>
        <w:t>–</w:t>
      </w:r>
      <w:r w:rsidRPr="00DC0382">
        <w:rPr>
          <w:rFonts w:eastAsiaTheme="minorEastAsia"/>
          <w:sz w:val="28"/>
          <w:szCs w:val="28"/>
          <w:lang w:val="en-US" w:eastAsia="zh-CN"/>
        </w:rPr>
        <w:t>110.</w:t>
      </w:r>
      <w:bookmarkEnd w:id="14"/>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val="en-US" w:eastAsia="zh-CN"/>
        </w:rPr>
      </w:pPr>
      <w:bookmarkStart w:id="15" w:name="_Ref381462379"/>
      <w:r w:rsidRPr="00DC0382">
        <w:rPr>
          <w:rFonts w:eastAsiaTheme="minorEastAsia"/>
          <w:sz w:val="28"/>
          <w:szCs w:val="28"/>
          <w:lang w:val="en-US" w:eastAsia="zh-CN"/>
        </w:rPr>
        <w:t>Lu H. Helicobacter pylori virulence factors: facts and fantasies / H. Lu, Y. Yamaoka, D.</w:t>
      </w:r>
      <w:r w:rsidR="00750EC7" w:rsidRPr="00DC0382">
        <w:rPr>
          <w:rFonts w:eastAsiaTheme="minorEastAsia"/>
          <w:sz w:val="28"/>
          <w:szCs w:val="28"/>
          <w:lang w:val="en-US" w:eastAsia="zh-CN"/>
        </w:rPr>
        <w:t xml:space="preserve"> </w:t>
      </w:r>
      <w:r w:rsidRPr="00DC0382">
        <w:rPr>
          <w:rFonts w:eastAsiaTheme="minorEastAsia"/>
          <w:sz w:val="28"/>
          <w:szCs w:val="28"/>
          <w:lang w:val="en-US" w:eastAsia="zh-CN"/>
        </w:rPr>
        <w:t xml:space="preserve">Y. Graham / </w:t>
      </w:r>
      <w:proofErr w:type="spellStart"/>
      <w:r w:rsidRPr="00DC0382">
        <w:rPr>
          <w:rFonts w:eastAsiaTheme="minorEastAsia"/>
          <w:sz w:val="28"/>
          <w:szCs w:val="28"/>
          <w:lang w:val="en-US" w:eastAsia="zh-CN"/>
        </w:rPr>
        <w:t>Curr</w:t>
      </w:r>
      <w:proofErr w:type="spellEnd"/>
      <w:r w:rsidRPr="00DC0382">
        <w:rPr>
          <w:rFonts w:eastAsiaTheme="minorEastAsia"/>
          <w:sz w:val="28"/>
          <w:szCs w:val="28"/>
          <w:lang w:val="en-US" w:eastAsia="zh-CN"/>
        </w:rPr>
        <w:t xml:space="preserve">. </w:t>
      </w:r>
      <w:proofErr w:type="spellStart"/>
      <w:r w:rsidRPr="00DC0382">
        <w:rPr>
          <w:rFonts w:eastAsiaTheme="minorEastAsia"/>
          <w:sz w:val="28"/>
          <w:szCs w:val="28"/>
          <w:lang w:val="en-US" w:eastAsia="zh-CN"/>
        </w:rPr>
        <w:t>Opin</w:t>
      </w:r>
      <w:proofErr w:type="spellEnd"/>
      <w:r w:rsidRPr="00DC0382">
        <w:rPr>
          <w:rFonts w:eastAsiaTheme="minorEastAsia"/>
          <w:sz w:val="28"/>
          <w:szCs w:val="28"/>
          <w:lang w:val="en-US" w:eastAsia="zh-CN"/>
        </w:rPr>
        <w:t xml:space="preserve">. </w:t>
      </w:r>
      <w:proofErr w:type="spellStart"/>
      <w:r w:rsidRPr="00DC0382">
        <w:rPr>
          <w:rFonts w:eastAsiaTheme="minorEastAsia"/>
          <w:sz w:val="28"/>
          <w:szCs w:val="28"/>
          <w:lang w:val="en-US" w:eastAsia="zh-CN"/>
        </w:rPr>
        <w:t>Gastroenterol</w:t>
      </w:r>
      <w:proofErr w:type="spellEnd"/>
      <w:r w:rsidRPr="00DC0382">
        <w:rPr>
          <w:rFonts w:eastAsiaTheme="minorEastAsia"/>
          <w:sz w:val="28"/>
          <w:szCs w:val="28"/>
          <w:lang w:val="en-US" w:eastAsia="zh-CN"/>
        </w:rPr>
        <w:t>.</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2005.</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 xml:space="preserve">Vol. 21, </w:t>
      </w:r>
      <w:r w:rsidR="00750EC7" w:rsidRPr="00DC0382">
        <w:rPr>
          <w:rFonts w:eastAsiaTheme="minorEastAsia"/>
          <w:sz w:val="28"/>
          <w:szCs w:val="28"/>
          <w:lang w:val="en-US" w:eastAsia="zh-CN"/>
        </w:rPr>
        <w:t>No</w:t>
      </w:r>
      <w:r w:rsidRPr="00DC0382">
        <w:rPr>
          <w:rFonts w:eastAsiaTheme="minorEastAsia"/>
          <w:sz w:val="28"/>
          <w:szCs w:val="28"/>
          <w:lang w:val="en-US" w:eastAsia="zh-CN"/>
        </w:rPr>
        <w:t xml:space="preserve"> 2.</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P. 653</w:t>
      </w:r>
      <w:r w:rsidR="007B332A" w:rsidRPr="00DC0382">
        <w:rPr>
          <w:rFonts w:eastAsiaTheme="minorEastAsia"/>
          <w:sz w:val="28"/>
          <w:szCs w:val="28"/>
          <w:lang w:val="en-US" w:eastAsia="zh-CN"/>
        </w:rPr>
        <w:t>–</w:t>
      </w:r>
      <w:r w:rsidRPr="00DC0382">
        <w:rPr>
          <w:rFonts w:eastAsiaTheme="minorEastAsia"/>
          <w:sz w:val="28"/>
          <w:szCs w:val="28"/>
          <w:lang w:val="en-US" w:eastAsia="zh-CN"/>
        </w:rPr>
        <w:t>659.</w:t>
      </w:r>
      <w:bookmarkEnd w:id="15"/>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val="en-US" w:eastAsia="zh-CN"/>
        </w:rPr>
      </w:pPr>
      <w:bookmarkStart w:id="16" w:name="_Ref381467009"/>
      <w:r w:rsidRPr="00DC0382">
        <w:rPr>
          <w:rFonts w:eastAsiaTheme="minorEastAsia"/>
          <w:sz w:val="28"/>
          <w:szCs w:val="28"/>
          <w:lang w:val="en-US" w:eastAsia="zh-CN"/>
        </w:rPr>
        <w:t xml:space="preserve">Small intestinal bacterial overgrowth syndrome / </w:t>
      </w:r>
      <w:r w:rsidR="00750EC7" w:rsidRPr="00DC0382">
        <w:rPr>
          <w:rFonts w:eastAsiaTheme="minorEastAsia"/>
          <w:sz w:val="28"/>
          <w:szCs w:val="28"/>
          <w:lang w:val="en-US" w:eastAsia="zh-CN"/>
        </w:rPr>
        <w:t xml:space="preserve">J. </w:t>
      </w:r>
      <w:proofErr w:type="spellStart"/>
      <w:r w:rsidRPr="00DC0382">
        <w:rPr>
          <w:rFonts w:eastAsiaTheme="minorEastAsia"/>
          <w:sz w:val="28"/>
          <w:szCs w:val="28"/>
          <w:lang w:val="en-US" w:eastAsia="zh-CN"/>
        </w:rPr>
        <w:t>Bures</w:t>
      </w:r>
      <w:proofErr w:type="spellEnd"/>
      <w:r w:rsidRPr="00DC0382">
        <w:rPr>
          <w:rFonts w:eastAsiaTheme="minorEastAsia"/>
          <w:sz w:val="28"/>
          <w:szCs w:val="28"/>
          <w:lang w:val="en-US" w:eastAsia="zh-CN"/>
        </w:rPr>
        <w:t xml:space="preserve">, </w:t>
      </w:r>
      <w:r w:rsidR="00750EC7" w:rsidRPr="00DC0382">
        <w:rPr>
          <w:rFonts w:eastAsiaTheme="minorEastAsia"/>
          <w:sz w:val="28"/>
          <w:szCs w:val="28"/>
          <w:lang w:val="en-US" w:eastAsia="zh-CN"/>
        </w:rPr>
        <w:t xml:space="preserve">J. </w:t>
      </w:r>
      <w:proofErr w:type="spellStart"/>
      <w:r w:rsidRPr="00DC0382">
        <w:rPr>
          <w:rFonts w:eastAsiaTheme="minorEastAsia"/>
          <w:sz w:val="28"/>
          <w:szCs w:val="28"/>
          <w:lang w:val="en-US" w:eastAsia="zh-CN"/>
        </w:rPr>
        <w:t>Cyrany</w:t>
      </w:r>
      <w:proofErr w:type="spellEnd"/>
      <w:r w:rsidRPr="00DC0382">
        <w:rPr>
          <w:rFonts w:eastAsiaTheme="minorEastAsia"/>
          <w:sz w:val="28"/>
          <w:szCs w:val="28"/>
          <w:lang w:val="en-US" w:eastAsia="zh-CN"/>
        </w:rPr>
        <w:t xml:space="preserve">, </w:t>
      </w:r>
      <w:r w:rsidR="00750EC7" w:rsidRPr="00DC0382">
        <w:rPr>
          <w:rFonts w:eastAsiaTheme="minorEastAsia"/>
          <w:sz w:val="28"/>
          <w:szCs w:val="28"/>
          <w:lang w:val="en-US" w:eastAsia="zh-CN"/>
        </w:rPr>
        <w:t xml:space="preserve">D. </w:t>
      </w:r>
      <w:proofErr w:type="spellStart"/>
      <w:r w:rsidRPr="00DC0382">
        <w:rPr>
          <w:rFonts w:eastAsiaTheme="minorEastAsia"/>
          <w:sz w:val="28"/>
          <w:szCs w:val="28"/>
          <w:lang w:val="en-US" w:eastAsia="zh-CN"/>
        </w:rPr>
        <w:t>Kohoutova</w:t>
      </w:r>
      <w:proofErr w:type="spellEnd"/>
      <w:r w:rsidRPr="00DC0382">
        <w:rPr>
          <w:rFonts w:eastAsiaTheme="minorEastAsia"/>
          <w:sz w:val="28"/>
          <w:szCs w:val="28"/>
          <w:lang w:val="en-US" w:eastAsia="zh-CN"/>
        </w:rPr>
        <w:t xml:space="preserve"> [et al.] // World J. </w:t>
      </w:r>
      <w:proofErr w:type="spellStart"/>
      <w:r w:rsidRPr="00DC0382">
        <w:rPr>
          <w:rFonts w:eastAsiaTheme="minorEastAsia"/>
          <w:sz w:val="28"/>
          <w:szCs w:val="28"/>
          <w:lang w:val="en-US" w:eastAsia="zh-CN"/>
        </w:rPr>
        <w:t>Gastroenterol</w:t>
      </w:r>
      <w:proofErr w:type="spellEnd"/>
      <w:r w:rsidRPr="00DC0382">
        <w:rPr>
          <w:rFonts w:eastAsiaTheme="minorEastAsia"/>
          <w:sz w:val="28"/>
          <w:szCs w:val="28"/>
          <w:lang w:val="en-US" w:eastAsia="zh-CN"/>
        </w:rPr>
        <w:t>.</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2010.</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 xml:space="preserve">Vol. 16, </w:t>
      </w:r>
      <w:r w:rsidR="00750EC7" w:rsidRPr="00DC0382">
        <w:rPr>
          <w:rFonts w:eastAsiaTheme="minorEastAsia"/>
          <w:sz w:val="28"/>
          <w:szCs w:val="28"/>
          <w:lang w:val="en-US" w:eastAsia="zh-CN"/>
        </w:rPr>
        <w:t>No</w:t>
      </w:r>
      <w:r w:rsidRPr="00DC0382">
        <w:rPr>
          <w:rFonts w:eastAsiaTheme="minorEastAsia"/>
          <w:sz w:val="28"/>
          <w:szCs w:val="28"/>
          <w:lang w:val="en-US" w:eastAsia="zh-CN"/>
        </w:rPr>
        <w:t xml:space="preserve"> 24.</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P. 2978</w:t>
      </w:r>
      <w:r w:rsidR="007B332A" w:rsidRPr="00DC0382">
        <w:rPr>
          <w:rFonts w:eastAsiaTheme="minorEastAsia"/>
          <w:sz w:val="28"/>
          <w:szCs w:val="28"/>
          <w:lang w:val="en-US" w:eastAsia="zh-CN"/>
        </w:rPr>
        <w:t>–</w:t>
      </w:r>
      <w:r w:rsidRPr="00DC0382">
        <w:rPr>
          <w:rFonts w:eastAsiaTheme="minorEastAsia"/>
          <w:sz w:val="28"/>
          <w:szCs w:val="28"/>
          <w:lang w:val="en-US" w:eastAsia="zh-CN"/>
        </w:rPr>
        <w:t>2990.</w:t>
      </w:r>
      <w:bookmarkEnd w:id="16"/>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val="en-US" w:eastAsia="zh-CN"/>
        </w:rPr>
      </w:pPr>
      <w:bookmarkStart w:id="17" w:name="_Ref381469271"/>
      <w:proofErr w:type="spellStart"/>
      <w:r w:rsidRPr="00DC0382">
        <w:rPr>
          <w:rFonts w:eastAsiaTheme="minorEastAsia"/>
          <w:sz w:val="28"/>
          <w:szCs w:val="28"/>
          <w:lang w:val="en-US" w:eastAsia="zh-CN"/>
        </w:rPr>
        <w:t>Vesy</w:t>
      </w:r>
      <w:proofErr w:type="spellEnd"/>
      <w:r w:rsidR="00750EC7" w:rsidRPr="00DC0382">
        <w:rPr>
          <w:rFonts w:eastAsiaTheme="minorEastAsia"/>
          <w:sz w:val="28"/>
          <w:szCs w:val="28"/>
          <w:lang w:val="en-US" w:eastAsia="zh-CN"/>
        </w:rPr>
        <w:t xml:space="preserve"> </w:t>
      </w:r>
      <w:r w:rsidRPr="00DC0382">
        <w:rPr>
          <w:rFonts w:eastAsiaTheme="minorEastAsia"/>
          <w:sz w:val="28"/>
          <w:szCs w:val="28"/>
          <w:lang w:val="en-US" w:eastAsia="zh-CN"/>
        </w:rPr>
        <w:t>C.</w:t>
      </w:r>
      <w:r w:rsidR="00750EC7" w:rsidRPr="00DC0382">
        <w:rPr>
          <w:rFonts w:eastAsiaTheme="minorEastAsia"/>
          <w:sz w:val="28"/>
          <w:szCs w:val="28"/>
          <w:lang w:val="en-US" w:eastAsia="zh-CN"/>
        </w:rPr>
        <w:t xml:space="preserve"> </w:t>
      </w:r>
      <w:r w:rsidRPr="00DC0382">
        <w:rPr>
          <w:rFonts w:eastAsiaTheme="minorEastAsia"/>
          <w:sz w:val="28"/>
          <w:szCs w:val="28"/>
          <w:lang w:val="en-US" w:eastAsia="zh-CN"/>
        </w:rPr>
        <w:t xml:space="preserve">J. </w:t>
      </w:r>
      <w:proofErr w:type="spellStart"/>
      <w:r w:rsidRPr="00DC0382">
        <w:rPr>
          <w:rFonts w:eastAsiaTheme="minorEastAsia"/>
          <w:sz w:val="28"/>
          <w:szCs w:val="28"/>
          <w:lang w:val="en-US" w:eastAsia="zh-CN"/>
        </w:rPr>
        <w:t>Lipopolysaccharide</w:t>
      </w:r>
      <w:proofErr w:type="spellEnd"/>
      <w:r w:rsidR="00750EC7" w:rsidRPr="00DC0382">
        <w:rPr>
          <w:rFonts w:eastAsiaTheme="minorEastAsia"/>
          <w:sz w:val="28"/>
          <w:szCs w:val="28"/>
          <w:lang w:val="en-US" w:eastAsia="zh-CN"/>
        </w:rPr>
        <w:t>-</w:t>
      </w:r>
      <w:r w:rsidRPr="00DC0382">
        <w:rPr>
          <w:rFonts w:eastAsiaTheme="minorEastAsia"/>
          <w:sz w:val="28"/>
          <w:szCs w:val="28"/>
          <w:lang w:val="en-US" w:eastAsia="zh-CN"/>
        </w:rPr>
        <w:t xml:space="preserve">binding protein and </w:t>
      </w:r>
      <w:proofErr w:type="spellStart"/>
      <w:r w:rsidRPr="00DC0382">
        <w:rPr>
          <w:rFonts w:eastAsiaTheme="minorEastAsia"/>
          <w:sz w:val="28"/>
          <w:szCs w:val="28"/>
          <w:lang w:val="en-US" w:eastAsia="zh-CN"/>
        </w:rPr>
        <w:t>phospholipid</w:t>
      </w:r>
      <w:proofErr w:type="spellEnd"/>
      <w:r w:rsidRPr="00DC0382">
        <w:rPr>
          <w:rFonts w:eastAsiaTheme="minorEastAsia"/>
          <w:sz w:val="28"/>
          <w:szCs w:val="28"/>
          <w:lang w:val="en-US" w:eastAsia="zh-CN"/>
        </w:rPr>
        <w:t xml:space="preserve"> transfer protein release </w:t>
      </w:r>
      <w:proofErr w:type="spellStart"/>
      <w:r w:rsidRPr="00DC0382">
        <w:rPr>
          <w:rFonts w:eastAsiaTheme="minorEastAsia"/>
          <w:sz w:val="28"/>
          <w:szCs w:val="28"/>
          <w:lang w:val="en-US" w:eastAsia="zh-CN"/>
        </w:rPr>
        <w:t>lipopolysaccharides</w:t>
      </w:r>
      <w:proofErr w:type="spellEnd"/>
      <w:r w:rsidRPr="00DC0382">
        <w:rPr>
          <w:rFonts w:eastAsiaTheme="minorEastAsia"/>
          <w:sz w:val="28"/>
          <w:szCs w:val="28"/>
          <w:lang w:val="en-US" w:eastAsia="zh-CN"/>
        </w:rPr>
        <w:t xml:space="preserve"> from gram</w:t>
      </w:r>
      <w:r w:rsidR="00750EC7" w:rsidRPr="00DC0382">
        <w:rPr>
          <w:rFonts w:eastAsiaTheme="minorEastAsia"/>
          <w:sz w:val="28"/>
          <w:szCs w:val="28"/>
          <w:lang w:val="en-US" w:eastAsia="zh-CN"/>
        </w:rPr>
        <w:t>-</w:t>
      </w:r>
      <w:r w:rsidRPr="00DC0382">
        <w:rPr>
          <w:rFonts w:eastAsiaTheme="minorEastAsia"/>
          <w:sz w:val="28"/>
          <w:szCs w:val="28"/>
          <w:lang w:val="en-US" w:eastAsia="zh-CN"/>
        </w:rPr>
        <w:t xml:space="preserve">negative </w:t>
      </w:r>
      <w:proofErr w:type="spellStart"/>
      <w:r w:rsidRPr="00DC0382">
        <w:rPr>
          <w:rFonts w:eastAsiaTheme="minorEastAsia"/>
          <w:sz w:val="28"/>
          <w:szCs w:val="28"/>
          <w:lang w:val="en-US" w:eastAsia="zh-CN"/>
        </w:rPr>
        <w:t>bacterial</w:t>
      </w:r>
      <w:proofErr w:type="spellEnd"/>
      <w:r w:rsidRPr="00DC0382">
        <w:rPr>
          <w:rFonts w:eastAsiaTheme="minorEastAsia"/>
          <w:sz w:val="28"/>
          <w:szCs w:val="28"/>
          <w:lang w:val="en-US" w:eastAsia="zh-CN"/>
        </w:rPr>
        <w:t xml:space="preserve"> membranes / C.</w:t>
      </w:r>
      <w:r w:rsidR="00750EC7" w:rsidRPr="00DC0382">
        <w:rPr>
          <w:rFonts w:eastAsiaTheme="minorEastAsia"/>
          <w:sz w:val="28"/>
          <w:szCs w:val="28"/>
          <w:lang w:val="en-US" w:eastAsia="zh-CN"/>
        </w:rPr>
        <w:t xml:space="preserve"> </w:t>
      </w:r>
      <w:r w:rsidRPr="00DC0382">
        <w:rPr>
          <w:rFonts w:eastAsiaTheme="minorEastAsia"/>
          <w:sz w:val="28"/>
          <w:szCs w:val="28"/>
          <w:lang w:val="en-US" w:eastAsia="zh-CN"/>
        </w:rPr>
        <w:t xml:space="preserve">J. </w:t>
      </w:r>
      <w:proofErr w:type="spellStart"/>
      <w:r w:rsidRPr="00DC0382">
        <w:rPr>
          <w:rFonts w:eastAsiaTheme="minorEastAsia"/>
          <w:sz w:val="28"/>
          <w:szCs w:val="28"/>
          <w:lang w:val="en-US" w:eastAsia="zh-CN"/>
        </w:rPr>
        <w:t>Vesy</w:t>
      </w:r>
      <w:proofErr w:type="spellEnd"/>
      <w:r w:rsidRPr="00DC0382">
        <w:rPr>
          <w:rFonts w:eastAsiaTheme="minorEastAsia"/>
          <w:sz w:val="28"/>
          <w:szCs w:val="28"/>
          <w:lang w:val="en-US" w:eastAsia="zh-CN"/>
        </w:rPr>
        <w:t xml:space="preserve">, </w:t>
      </w:r>
      <w:r w:rsidRPr="00DC0382">
        <w:rPr>
          <w:rFonts w:eastAsiaTheme="minorEastAsia"/>
          <w:sz w:val="28"/>
          <w:szCs w:val="28"/>
          <w:lang w:val="en-US" w:eastAsia="zh-CN"/>
        </w:rPr>
        <w:lastRenderedPageBreak/>
        <w:t>R.</w:t>
      </w:r>
      <w:r w:rsidR="00750EC7" w:rsidRPr="00DC0382">
        <w:rPr>
          <w:rFonts w:eastAsiaTheme="minorEastAsia"/>
          <w:sz w:val="28"/>
          <w:szCs w:val="28"/>
          <w:lang w:val="en-US" w:eastAsia="zh-CN"/>
        </w:rPr>
        <w:t xml:space="preserve"> </w:t>
      </w:r>
      <w:r w:rsidRPr="00DC0382">
        <w:rPr>
          <w:rFonts w:eastAsiaTheme="minorEastAsia"/>
          <w:sz w:val="28"/>
          <w:szCs w:val="28"/>
          <w:lang w:val="en-US" w:eastAsia="zh-CN"/>
        </w:rPr>
        <w:t xml:space="preserve">L. Kitchens, G. </w:t>
      </w:r>
      <w:proofErr w:type="spellStart"/>
      <w:r w:rsidRPr="00DC0382">
        <w:rPr>
          <w:rFonts w:eastAsiaTheme="minorEastAsia"/>
          <w:sz w:val="28"/>
          <w:szCs w:val="28"/>
          <w:lang w:val="en-US" w:eastAsia="zh-CN"/>
        </w:rPr>
        <w:t>Wolfbauer</w:t>
      </w:r>
      <w:proofErr w:type="spellEnd"/>
      <w:r w:rsidR="00750EC7" w:rsidRPr="00DC0382">
        <w:rPr>
          <w:rFonts w:eastAsiaTheme="minorEastAsia"/>
          <w:sz w:val="28"/>
          <w:szCs w:val="28"/>
          <w:lang w:val="en-US" w:eastAsia="zh-CN"/>
        </w:rPr>
        <w:t xml:space="preserve"> </w:t>
      </w:r>
      <w:r w:rsidRPr="00DC0382">
        <w:rPr>
          <w:rFonts w:eastAsiaTheme="minorEastAsia"/>
          <w:sz w:val="28"/>
          <w:szCs w:val="28"/>
          <w:lang w:val="en-US" w:eastAsia="zh-CN"/>
        </w:rPr>
        <w:t>// Infect. Immun.</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2000.</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 xml:space="preserve">Vol. 68, </w:t>
      </w:r>
      <w:r w:rsidR="00750EC7" w:rsidRPr="00DC0382">
        <w:rPr>
          <w:rFonts w:eastAsiaTheme="minorEastAsia"/>
          <w:sz w:val="28"/>
          <w:szCs w:val="28"/>
          <w:lang w:val="en-US" w:eastAsia="zh-CN"/>
        </w:rPr>
        <w:t>No</w:t>
      </w:r>
      <w:r w:rsidRPr="00DC0382">
        <w:rPr>
          <w:rFonts w:eastAsiaTheme="minorEastAsia"/>
          <w:sz w:val="28"/>
          <w:szCs w:val="28"/>
          <w:lang w:val="en-US" w:eastAsia="zh-CN"/>
        </w:rPr>
        <w:t xml:space="preserve"> 5.</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Р. 2410</w:t>
      </w:r>
      <w:r w:rsidR="007B332A" w:rsidRPr="00DC0382">
        <w:rPr>
          <w:rFonts w:eastAsiaTheme="minorEastAsia"/>
          <w:sz w:val="28"/>
          <w:szCs w:val="28"/>
          <w:lang w:val="en-US" w:eastAsia="zh-CN"/>
        </w:rPr>
        <w:t>–</w:t>
      </w:r>
      <w:r w:rsidRPr="00DC0382">
        <w:rPr>
          <w:rFonts w:eastAsiaTheme="minorEastAsia"/>
          <w:sz w:val="28"/>
          <w:szCs w:val="28"/>
          <w:lang w:val="en-US" w:eastAsia="zh-CN"/>
        </w:rPr>
        <w:t>2417.</w:t>
      </w:r>
      <w:bookmarkEnd w:id="17"/>
    </w:p>
    <w:p w:rsidR="00BC7970" w:rsidRPr="00DC0382" w:rsidRDefault="00BC7970" w:rsidP="001B2AD4">
      <w:pPr>
        <w:pStyle w:val="a3"/>
        <w:numPr>
          <w:ilvl w:val="0"/>
          <w:numId w:val="1"/>
        </w:numPr>
        <w:spacing w:after="0" w:line="360" w:lineRule="auto"/>
        <w:ind w:left="357" w:hanging="499"/>
        <w:jc w:val="both"/>
        <w:rPr>
          <w:rFonts w:eastAsiaTheme="minorEastAsia"/>
          <w:sz w:val="28"/>
          <w:szCs w:val="28"/>
          <w:lang w:val="en-US" w:eastAsia="zh-CN"/>
        </w:rPr>
      </w:pPr>
      <w:bookmarkStart w:id="18" w:name="_Ref381469273"/>
      <w:r w:rsidRPr="00DC0382">
        <w:rPr>
          <w:rFonts w:eastAsiaTheme="minorEastAsia"/>
          <w:sz w:val="28"/>
          <w:szCs w:val="28"/>
          <w:lang w:val="en-US" w:eastAsia="zh-CN"/>
        </w:rPr>
        <w:t xml:space="preserve">Wang X. </w:t>
      </w:r>
      <w:proofErr w:type="spellStart"/>
      <w:r w:rsidRPr="00DC0382">
        <w:rPr>
          <w:rFonts w:eastAsiaTheme="minorEastAsia"/>
          <w:sz w:val="28"/>
          <w:szCs w:val="28"/>
          <w:lang w:val="en-US" w:eastAsia="zh-CN"/>
        </w:rPr>
        <w:t>Endotoxins</w:t>
      </w:r>
      <w:proofErr w:type="spellEnd"/>
      <w:r w:rsidRPr="00DC0382">
        <w:rPr>
          <w:rFonts w:eastAsiaTheme="minorEastAsia"/>
          <w:sz w:val="28"/>
          <w:szCs w:val="28"/>
          <w:lang w:val="en-US" w:eastAsia="zh-CN"/>
        </w:rPr>
        <w:t xml:space="preserve">: </w:t>
      </w:r>
      <w:proofErr w:type="spellStart"/>
      <w:r w:rsidRPr="00DC0382">
        <w:rPr>
          <w:rFonts w:eastAsiaTheme="minorEastAsia"/>
          <w:sz w:val="28"/>
          <w:szCs w:val="28"/>
          <w:lang w:val="en-US" w:eastAsia="zh-CN"/>
        </w:rPr>
        <w:t>lipopolysaccharides</w:t>
      </w:r>
      <w:proofErr w:type="spellEnd"/>
      <w:r w:rsidRPr="00DC0382">
        <w:rPr>
          <w:rFonts w:eastAsiaTheme="minorEastAsia"/>
          <w:sz w:val="28"/>
          <w:szCs w:val="28"/>
          <w:lang w:val="en-US" w:eastAsia="zh-CN"/>
        </w:rPr>
        <w:t xml:space="preserve"> of gram</w:t>
      </w:r>
      <w:r w:rsidR="00750EC7" w:rsidRPr="00DC0382">
        <w:rPr>
          <w:rFonts w:eastAsiaTheme="minorEastAsia"/>
          <w:sz w:val="28"/>
          <w:szCs w:val="28"/>
          <w:lang w:val="en-US" w:eastAsia="zh-CN"/>
        </w:rPr>
        <w:t>-</w:t>
      </w:r>
      <w:r w:rsidRPr="00DC0382">
        <w:rPr>
          <w:rFonts w:eastAsiaTheme="minorEastAsia"/>
          <w:sz w:val="28"/>
          <w:szCs w:val="28"/>
          <w:lang w:val="en-US" w:eastAsia="zh-CN"/>
        </w:rPr>
        <w:t>negative bacteria / X. Wang, P.</w:t>
      </w:r>
      <w:r w:rsidR="00750EC7" w:rsidRPr="00DC0382">
        <w:rPr>
          <w:rFonts w:eastAsiaTheme="minorEastAsia"/>
          <w:sz w:val="28"/>
          <w:szCs w:val="28"/>
          <w:lang w:val="en-US" w:eastAsia="zh-CN"/>
        </w:rPr>
        <w:t xml:space="preserve"> </w:t>
      </w:r>
      <w:r w:rsidRPr="00DC0382">
        <w:rPr>
          <w:rFonts w:eastAsiaTheme="minorEastAsia"/>
          <w:sz w:val="28"/>
          <w:szCs w:val="28"/>
          <w:lang w:val="en-US" w:eastAsia="zh-CN"/>
        </w:rPr>
        <w:t xml:space="preserve">J. Quinn // </w:t>
      </w:r>
      <w:proofErr w:type="spellStart"/>
      <w:r w:rsidRPr="00DC0382">
        <w:rPr>
          <w:rFonts w:eastAsiaTheme="minorEastAsia"/>
          <w:sz w:val="28"/>
          <w:szCs w:val="28"/>
          <w:lang w:val="en-US" w:eastAsia="zh-CN"/>
        </w:rPr>
        <w:t>Subcell</w:t>
      </w:r>
      <w:proofErr w:type="spellEnd"/>
      <w:r w:rsidR="00750EC7" w:rsidRPr="00DC0382">
        <w:rPr>
          <w:rFonts w:eastAsiaTheme="minorEastAsia"/>
          <w:sz w:val="28"/>
          <w:szCs w:val="28"/>
          <w:lang w:val="en-US" w:eastAsia="zh-CN"/>
        </w:rPr>
        <w:t xml:space="preserve"> </w:t>
      </w:r>
      <w:proofErr w:type="spellStart"/>
      <w:r w:rsidRPr="00DC0382">
        <w:rPr>
          <w:rFonts w:eastAsiaTheme="minorEastAsia"/>
          <w:sz w:val="28"/>
          <w:szCs w:val="28"/>
          <w:lang w:val="en-US" w:eastAsia="zh-CN"/>
        </w:rPr>
        <w:t>Biochem</w:t>
      </w:r>
      <w:proofErr w:type="spellEnd"/>
      <w:r w:rsidRPr="00DC0382">
        <w:rPr>
          <w:rFonts w:eastAsiaTheme="minorEastAsia"/>
          <w:sz w:val="28"/>
          <w:szCs w:val="28"/>
          <w:lang w:val="en-US" w:eastAsia="zh-CN"/>
        </w:rPr>
        <w:t>.</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2010.</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Vol. 53.</w:t>
      </w:r>
      <w:r w:rsidR="007B332A" w:rsidRPr="00DC0382">
        <w:rPr>
          <w:rFonts w:eastAsiaTheme="minorEastAsia"/>
          <w:sz w:val="28"/>
          <w:szCs w:val="28"/>
          <w:lang w:val="en-US" w:eastAsia="zh-CN"/>
        </w:rPr>
        <w:t xml:space="preserve"> ― </w:t>
      </w:r>
      <w:r w:rsidRPr="00DC0382">
        <w:rPr>
          <w:rFonts w:eastAsiaTheme="minorEastAsia"/>
          <w:sz w:val="28"/>
          <w:szCs w:val="28"/>
          <w:lang w:val="en-US" w:eastAsia="zh-CN"/>
        </w:rPr>
        <w:t>P. 3</w:t>
      </w:r>
      <w:r w:rsidR="007B332A" w:rsidRPr="00DC0382">
        <w:rPr>
          <w:rFonts w:eastAsiaTheme="minorEastAsia"/>
          <w:sz w:val="28"/>
          <w:szCs w:val="28"/>
          <w:lang w:val="en-US" w:eastAsia="zh-CN"/>
        </w:rPr>
        <w:t>–</w:t>
      </w:r>
      <w:r w:rsidRPr="00DC0382">
        <w:rPr>
          <w:rFonts w:eastAsiaTheme="minorEastAsia"/>
          <w:sz w:val="28"/>
          <w:szCs w:val="28"/>
          <w:lang w:val="en-US" w:eastAsia="zh-CN"/>
        </w:rPr>
        <w:t>25.</w:t>
      </w:r>
      <w:bookmarkEnd w:id="18"/>
    </w:p>
    <w:p w:rsidR="00D1382C" w:rsidRPr="00DC0382" w:rsidRDefault="00D1382C">
      <w:pPr>
        <w:rPr>
          <w:rFonts w:eastAsiaTheme="minorEastAsia"/>
          <w:sz w:val="28"/>
          <w:szCs w:val="28"/>
          <w:lang w:val="en-US" w:eastAsia="zh-CN"/>
        </w:rPr>
      </w:pPr>
      <w:r w:rsidRPr="00DC0382">
        <w:rPr>
          <w:rFonts w:eastAsiaTheme="minorEastAsia"/>
          <w:sz w:val="28"/>
          <w:szCs w:val="28"/>
          <w:lang w:val="en-US" w:eastAsia="zh-CN"/>
        </w:rPr>
        <w:br w:type="page"/>
      </w:r>
    </w:p>
    <w:p w:rsidR="00877787" w:rsidRPr="00DC0382" w:rsidRDefault="00877787" w:rsidP="00877787">
      <w:pPr>
        <w:spacing w:after="0" w:line="360" w:lineRule="auto"/>
        <w:jc w:val="center"/>
        <w:rPr>
          <w:rFonts w:eastAsiaTheme="minorEastAsia"/>
          <w:b/>
          <w:sz w:val="28"/>
          <w:szCs w:val="28"/>
          <w:lang w:val="en-US" w:eastAsia="zh-CN"/>
        </w:rPr>
      </w:pPr>
      <w:r w:rsidRPr="00DC0382">
        <w:rPr>
          <w:rFonts w:eastAsiaTheme="minorEastAsia"/>
          <w:b/>
          <w:sz w:val="28"/>
          <w:szCs w:val="28"/>
          <w:lang w:val="en-US" w:eastAsia="zh-CN"/>
        </w:rPr>
        <w:lastRenderedPageBreak/>
        <w:t xml:space="preserve">Systemic </w:t>
      </w:r>
      <w:proofErr w:type="spellStart"/>
      <w:r w:rsidRPr="00DC0382">
        <w:rPr>
          <w:rFonts w:eastAsiaTheme="minorEastAsia"/>
          <w:b/>
          <w:sz w:val="28"/>
          <w:szCs w:val="28"/>
          <w:lang w:val="en-US" w:eastAsia="zh-CN"/>
        </w:rPr>
        <w:t>endotoxinemia</w:t>
      </w:r>
      <w:proofErr w:type="spellEnd"/>
      <w:r w:rsidRPr="00DC0382">
        <w:rPr>
          <w:rFonts w:eastAsiaTheme="minorEastAsia"/>
          <w:b/>
          <w:sz w:val="28"/>
          <w:szCs w:val="28"/>
          <w:lang w:val="en-US" w:eastAsia="zh-CN"/>
        </w:rPr>
        <w:t xml:space="preserve"> and tension of </w:t>
      </w:r>
      <w:proofErr w:type="spellStart"/>
      <w:r w:rsidRPr="00DC0382">
        <w:rPr>
          <w:rFonts w:eastAsiaTheme="minorEastAsia"/>
          <w:b/>
          <w:sz w:val="28"/>
          <w:szCs w:val="28"/>
          <w:lang w:val="en-US" w:eastAsia="zh-CN"/>
        </w:rPr>
        <w:t>antiendotoxin</w:t>
      </w:r>
      <w:proofErr w:type="spellEnd"/>
      <w:r w:rsidRPr="00DC0382">
        <w:rPr>
          <w:rFonts w:eastAsiaTheme="minorEastAsia"/>
          <w:b/>
          <w:sz w:val="28"/>
          <w:szCs w:val="28"/>
          <w:lang w:val="en-US" w:eastAsia="zh-CN"/>
        </w:rPr>
        <w:t xml:space="preserve"> immunity assessment in children with erosive and ulcerative changes in the duodenal mucosa</w:t>
      </w:r>
    </w:p>
    <w:p w:rsidR="00877787" w:rsidRPr="00DC0382" w:rsidRDefault="00877787" w:rsidP="00877787">
      <w:pPr>
        <w:spacing w:after="0" w:line="360" w:lineRule="auto"/>
        <w:jc w:val="center"/>
        <w:rPr>
          <w:rFonts w:eastAsiaTheme="minorEastAsia"/>
          <w:sz w:val="28"/>
          <w:szCs w:val="28"/>
          <w:lang w:val="en-US" w:eastAsia="zh-CN"/>
        </w:rPr>
      </w:pPr>
      <w:r w:rsidRPr="00DC0382">
        <w:rPr>
          <w:sz w:val="28"/>
          <w:szCs w:val="28"/>
          <w:lang w:val="en-US"/>
        </w:rPr>
        <w:t>A. V.</w:t>
      </w:r>
      <w:r w:rsidRPr="00DC0382">
        <w:rPr>
          <w:rFonts w:eastAsiaTheme="minorEastAsia"/>
          <w:sz w:val="28"/>
          <w:szCs w:val="28"/>
          <w:lang w:val="en-US" w:eastAsia="zh-CN"/>
        </w:rPr>
        <w:t xml:space="preserve"> </w:t>
      </w:r>
      <w:proofErr w:type="spellStart"/>
      <w:r w:rsidRPr="00DC0382">
        <w:rPr>
          <w:sz w:val="28"/>
          <w:szCs w:val="28"/>
          <w:lang w:val="en-US"/>
        </w:rPr>
        <w:t>Nalyotov</w:t>
      </w:r>
      <w:proofErr w:type="spellEnd"/>
    </w:p>
    <w:p w:rsidR="00877787" w:rsidRPr="00DC0382" w:rsidRDefault="00877787" w:rsidP="00877787">
      <w:pPr>
        <w:spacing w:after="0" w:line="360" w:lineRule="auto"/>
        <w:jc w:val="center"/>
        <w:rPr>
          <w:rFonts w:eastAsiaTheme="minorEastAsia"/>
          <w:i/>
          <w:sz w:val="28"/>
          <w:szCs w:val="28"/>
          <w:lang w:val="en-US" w:eastAsia="zh-CN"/>
        </w:rPr>
      </w:pPr>
      <w:r w:rsidRPr="00DC0382">
        <w:rPr>
          <w:rFonts w:eastAsiaTheme="minorEastAsia"/>
          <w:i/>
          <w:sz w:val="28"/>
          <w:szCs w:val="28"/>
          <w:lang w:val="en-US" w:eastAsia="zh-CN"/>
        </w:rPr>
        <w:t>Donetsk National Medical University n. a. M. Gorky</w:t>
      </w:r>
      <w:r w:rsidRPr="00DC0382">
        <w:rPr>
          <w:rFonts w:eastAsiaTheme="minorEastAsia"/>
          <w:i/>
          <w:sz w:val="28"/>
          <w:szCs w:val="28"/>
          <w:lang w:val="uk-UA" w:eastAsia="zh-CN"/>
        </w:rPr>
        <w:t xml:space="preserve">, </w:t>
      </w:r>
      <w:r w:rsidRPr="00DC0382">
        <w:rPr>
          <w:rFonts w:eastAsiaTheme="minorEastAsia"/>
          <w:i/>
          <w:sz w:val="28"/>
          <w:szCs w:val="28"/>
          <w:lang w:val="en-US" w:eastAsia="zh-CN"/>
        </w:rPr>
        <w:t>Ukraine</w:t>
      </w:r>
    </w:p>
    <w:p w:rsidR="00877787" w:rsidRPr="00DC0382" w:rsidRDefault="00877787" w:rsidP="00877787">
      <w:pPr>
        <w:spacing w:after="0" w:line="360" w:lineRule="auto"/>
        <w:ind w:firstLine="709"/>
        <w:jc w:val="both"/>
        <w:rPr>
          <w:rFonts w:eastAsiaTheme="minorEastAsia"/>
          <w:sz w:val="28"/>
          <w:szCs w:val="28"/>
          <w:lang w:val="uk-UA" w:eastAsia="zh-CN"/>
        </w:rPr>
      </w:pPr>
    </w:p>
    <w:p w:rsidR="00877787" w:rsidRPr="00DC0382" w:rsidRDefault="00877787" w:rsidP="00877787">
      <w:pPr>
        <w:spacing w:after="0" w:line="360" w:lineRule="auto"/>
        <w:ind w:firstLine="709"/>
        <w:jc w:val="both"/>
        <w:rPr>
          <w:rFonts w:eastAsiaTheme="minorEastAsia"/>
          <w:sz w:val="28"/>
          <w:szCs w:val="28"/>
          <w:lang w:val="en-US" w:eastAsia="zh-CN"/>
        </w:rPr>
      </w:pPr>
      <w:r w:rsidRPr="00DC0382">
        <w:rPr>
          <w:rFonts w:eastAsiaTheme="minorEastAsia"/>
          <w:b/>
          <w:sz w:val="28"/>
          <w:szCs w:val="28"/>
          <w:lang w:val="en-US" w:eastAsia="zh-CN"/>
        </w:rPr>
        <w:t>Key</w:t>
      </w:r>
      <w:r w:rsidRPr="00DC0382">
        <w:rPr>
          <w:rFonts w:eastAsiaTheme="minorEastAsia"/>
          <w:b/>
          <w:sz w:val="28"/>
          <w:szCs w:val="28"/>
          <w:lang w:val="uk-UA" w:eastAsia="zh-CN"/>
        </w:rPr>
        <w:t xml:space="preserve"> </w:t>
      </w:r>
      <w:r w:rsidRPr="00DC0382">
        <w:rPr>
          <w:rFonts w:eastAsiaTheme="minorEastAsia"/>
          <w:b/>
          <w:sz w:val="28"/>
          <w:szCs w:val="28"/>
          <w:lang w:val="en-US" w:eastAsia="zh-CN"/>
        </w:rPr>
        <w:t>words</w:t>
      </w:r>
      <w:r w:rsidRPr="00DC0382">
        <w:rPr>
          <w:rFonts w:eastAsiaTheme="minorEastAsia"/>
          <w:b/>
          <w:sz w:val="28"/>
          <w:szCs w:val="28"/>
          <w:lang w:val="uk-UA" w:eastAsia="zh-CN"/>
        </w:rPr>
        <w:t xml:space="preserve">: </w:t>
      </w:r>
      <w:r w:rsidRPr="00DC0382">
        <w:rPr>
          <w:rFonts w:eastAsiaTheme="minorEastAsia"/>
          <w:sz w:val="28"/>
          <w:szCs w:val="28"/>
          <w:lang w:val="en-US" w:eastAsia="zh-CN"/>
        </w:rPr>
        <w:t xml:space="preserve">children, </w:t>
      </w:r>
      <w:proofErr w:type="spellStart"/>
      <w:r w:rsidRPr="00DC0382">
        <w:rPr>
          <w:rFonts w:eastAsiaTheme="minorEastAsia"/>
          <w:sz w:val="28"/>
          <w:szCs w:val="28"/>
          <w:lang w:val="en-US" w:eastAsia="zh-CN"/>
        </w:rPr>
        <w:t>gastroduodenal</w:t>
      </w:r>
      <w:proofErr w:type="spellEnd"/>
      <w:r w:rsidRPr="00DC0382">
        <w:rPr>
          <w:rFonts w:eastAsiaTheme="minorEastAsia"/>
          <w:sz w:val="28"/>
          <w:szCs w:val="28"/>
          <w:lang w:val="en-US" w:eastAsia="zh-CN"/>
        </w:rPr>
        <w:t xml:space="preserve"> pathology, Helicobacter pylori, genotyping, </w:t>
      </w:r>
      <w:proofErr w:type="spellStart"/>
      <w:r w:rsidRPr="00DC0382">
        <w:rPr>
          <w:rFonts w:eastAsiaTheme="minorEastAsia"/>
          <w:sz w:val="28"/>
          <w:szCs w:val="28"/>
          <w:lang w:val="en-US" w:eastAsia="zh-CN"/>
        </w:rPr>
        <w:t>endotoxin</w:t>
      </w:r>
      <w:proofErr w:type="spellEnd"/>
      <w:r w:rsidRPr="00DC0382">
        <w:rPr>
          <w:rFonts w:eastAsiaTheme="minorEastAsia"/>
          <w:sz w:val="28"/>
          <w:szCs w:val="28"/>
          <w:lang w:val="en-US" w:eastAsia="zh-CN"/>
        </w:rPr>
        <w:t xml:space="preserve">, </w:t>
      </w:r>
      <w:proofErr w:type="spellStart"/>
      <w:r w:rsidRPr="00DC0382">
        <w:rPr>
          <w:rFonts w:eastAsiaTheme="minorEastAsia"/>
          <w:sz w:val="28"/>
          <w:szCs w:val="28"/>
          <w:lang w:val="en-US" w:eastAsia="zh-CN"/>
        </w:rPr>
        <w:t>antiendotoxin</w:t>
      </w:r>
      <w:proofErr w:type="spellEnd"/>
      <w:r w:rsidRPr="00DC0382">
        <w:rPr>
          <w:rFonts w:eastAsiaTheme="minorEastAsia"/>
          <w:sz w:val="28"/>
          <w:szCs w:val="28"/>
          <w:lang w:val="en-US" w:eastAsia="zh-CN"/>
        </w:rPr>
        <w:t xml:space="preserve"> immunity, small intestinal bacterial overgrowth syndrome</w:t>
      </w:r>
    </w:p>
    <w:p w:rsidR="00877787" w:rsidRPr="00DC0382" w:rsidRDefault="00877787" w:rsidP="00877787">
      <w:pPr>
        <w:spacing w:after="0" w:line="360" w:lineRule="auto"/>
        <w:ind w:firstLine="709"/>
        <w:jc w:val="both"/>
        <w:rPr>
          <w:sz w:val="28"/>
          <w:szCs w:val="28"/>
          <w:lang w:val="en-US"/>
        </w:rPr>
      </w:pPr>
      <w:r w:rsidRPr="00DC0382">
        <w:rPr>
          <w:sz w:val="28"/>
          <w:szCs w:val="28"/>
          <w:lang w:val="en-US"/>
        </w:rPr>
        <w:t xml:space="preserve">Parameters of systemic </w:t>
      </w:r>
      <w:proofErr w:type="spellStart"/>
      <w:r w:rsidRPr="00DC0382">
        <w:rPr>
          <w:sz w:val="28"/>
          <w:szCs w:val="28"/>
          <w:lang w:val="en-US"/>
        </w:rPr>
        <w:t>endotoxinemia</w:t>
      </w:r>
      <w:proofErr w:type="spellEnd"/>
      <w:r w:rsidRPr="00DC0382">
        <w:rPr>
          <w:sz w:val="28"/>
          <w:szCs w:val="28"/>
          <w:lang w:val="en-US"/>
        </w:rPr>
        <w:t xml:space="preserve"> and state of </w:t>
      </w:r>
      <w:proofErr w:type="spellStart"/>
      <w:r w:rsidRPr="00DC0382">
        <w:rPr>
          <w:sz w:val="28"/>
          <w:szCs w:val="28"/>
          <w:lang w:val="en-US"/>
        </w:rPr>
        <w:t>antiendotoxinhumoral</w:t>
      </w:r>
      <w:proofErr w:type="spellEnd"/>
      <w:r w:rsidRPr="00DC0382">
        <w:rPr>
          <w:sz w:val="28"/>
          <w:szCs w:val="28"/>
          <w:lang w:val="en-US"/>
        </w:rPr>
        <w:t xml:space="preserve"> immunity have been investigated in 60 children with erosive and ulcerative changes in the duodenal mucosa infected with different strains of Helicobacter pylori. Small intestinal bacterial overgrowth syndrome and systemic </w:t>
      </w:r>
      <w:proofErr w:type="spellStart"/>
      <w:r w:rsidRPr="00DC0382">
        <w:rPr>
          <w:sz w:val="28"/>
          <w:szCs w:val="28"/>
          <w:lang w:val="en-US"/>
        </w:rPr>
        <w:t>endotoxinemia</w:t>
      </w:r>
      <w:proofErr w:type="spellEnd"/>
      <w:r w:rsidRPr="00DC0382">
        <w:rPr>
          <w:sz w:val="28"/>
          <w:szCs w:val="28"/>
          <w:lang w:val="en-US"/>
        </w:rPr>
        <w:t>, which exceeds the physiological norm, have been</w:t>
      </w:r>
      <w:r w:rsidR="005F5A90" w:rsidRPr="00DC0382">
        <w:rPr>
          <w:sz w:val="28"/>
          <w:szCs w:val="28"/>
          <w:lang w:val="en-US"/>
        </w:rPr>
        <w:t xml:space="preserve"> </w:t>
      </w:r>
      <w:r w:rsidRPr="00DC0382">
        <w:rPr>
          <w:sz w:val="28"/>
          <w:szCs w:val="28"/>
          <w:lang w:val="en-US"/>
        </w:rPr>
        <w:t xml:space="preserve">diagnosed in the majority of the </w:t>
      </w:r>
      <w:r w:rsidR="005F5A90" w:rsidRPr="00DC0382">
        <w:rPr>
          <w:sz w:val="28"/>
          <w:szCs w:val="28"/>
          <w:lang w:val="en-US"/>
        </w:rPr>
        <w:t>examined</w:t>
      </w:r>
      <w:r w:rsidRPr="00DC0382">
        <w:rPr>
          <w:sz w:val="28"/>
          <w:szCs w:val="28"/>
          <w:lang w:val="en-US"/>
        </w:rPr>
        <w:t xml:space="preserve"> </w:t>
      </w:r>
      <w:bookmarkStart w:id="19" w:name="_GoBack"/>
      <w:bookmarkEnd w:id="19"/>
      <w:r w:rsidRPr="00DC0382">
        <w:rPr>
          <w:sz w:val="28"/>
          <w:szCs w:val="28"/>
          <w:lang w:val="en-US"/>
        </w:rPr>
        <w:t>patients.</w:t>
      </w:r>
      <w:r w:rsidR="005F5A90" w:rsidRPr="00DC0382">
        <w:rPr>
          <w:sz w:val="28"/>
          <w:szCs w:val="28"/>
          <w:lang w:val="en-US"/>
        </w:rPr>
        <w:t xml:space="preserve"> </w:t>
      </w:r>
      <w:r w:rsidRPr="00DC0382">
        <w:rPr>
          <w:sz w:val="28"/>
          <w:szCs w:val="28"/>
          <w:lang w:val="en-US"/>
        </w:rPr>
        <w:t xml:space="preserve">Systemic </w:t>
      </w:r>
      <w:proofErr w:type="spellStart"/>
      <w:r w:rsidRPr="00DC0382">
        <w:rPr>
          <w:sz w:val="28"/>
          <w:szCs w:val="28"/>
          <w:lang w:val="en-US"/>
        </w:rPr>
        <w:t>endotoxinemia</w:t>
      </w:r>
      <w:proofErr w:type="spellEnd"/>
      <w:r w:rsidR="005F5A90" w:rsidRPr="00DC0382">
        <w:rPr>
          <w:sz w:val="28"/>
          <w:szCs w:val="28"/>
          <w:lang w:val="en-US"/>
        </w:rPr>
        <w:t xml:space="preserve"> </w:t>
      </w:r>
      <w:r w:rsidRPr="00DC0382">
        <w:rPr>
          <w:sz w:val="28"/>
          <w:szCs w:val="28"/>
          <w:lang w:val="en-US"/>
        </w:rPr>
        <w:t xml:space="preserve">was accompanied by the decrease of </w:t>
      </w:r>
      <w:proofErr w:type="spellStart"/>
      <w:r w:rsidRPr="00DC0382">
        <w:rPr>
          <w:sz w:val="28"/>
          <w:szCs w:val="28"/>
          <w:lang w:val="en-US"/>
        </w:rPr>
        <w:t>antiendotoxin</w:t>
      </w:r>
      <w:proofErr w:type="spellEnd"/>
      <w:r w:rsidR="005F5A90" w:rsidRPr="00DC0382">
        <w:rPr>
          <w:sz w:val="28"/>
          <w:szCs w:val="28"/>
          <w:lang w:val="en-US"/>
        </w:rPr>
        <w:t xml:space="preserve"> </w:t>
      </w:r>
      <w:proofErr w:type="spellStart"/>
      <w:r w:rsidRPr="00DC0382">
        <w:rPr>
          <w:sz w:val="28"/>
          <w:szCs w:val="28"/>
          <w:lang w:val="en-US"/>
        </w:rPr>
        <w:t>immunoglobulins</w:t>
      </w:r>
      <w:proofErr w:type="spellEnd"/>
      <w:r w:rsidRPr="00DC0382">
        <w:rPr>
          <w:sz w:val="28"/>
          <w:szCs w:val="28"/>
          <w:lang w:val="en-US"/>
        </w:rPr>
        <w:t xml:space="preserve"> levels in all the examined patients. These changes indicate the depletion of compensatory abilities in the organism of these patients. </w:t>
      </w:r>
      <w:proofErr w:type="gramStart"/>
      <w:r w:rsidRPr="00DC0382">
        <w:rPr>
          <w:sz w:val="28"/>
          <w:szCs w:val="28"/>
          <w:lang w:val="en-US"/>
        </w:rPr>
        <w:t xml:space="preserve">The Helicobacter pylori virulent strains, which have </w:t>
      </w:r>
      <w:proofErr w:type="spellStart"/>
      <w:r w:rsidRPr="00DC0382">
        <w:rPr>
          <w:sz w:val="28"/>
          <w:szCs w:val="28"/>
          <w:lang w:val="en-US"/>
        </w:rPr>
        <w:t>cagA</w:t>
      </w:r>
      <w:proofErr w:type="spellEnd"/>
      <w:r w:rsidRPr="00DC0382">
        <w:rPr>
          <w:sz w:val="28"/>
          <w:szCs w:val="28"/>
          <w:lang w:val="en-US"/>
        </w:rPr>
        <w:t>, vacAs1/m1 or vacAs1s2/m1m2 gens in the structure of their genotype, cause more significant inhibition of the</w:t>
      </w:r>
      <w:r w:rsidR="005F5A90" w:rsidRPr="00DC0382">
        <w:rPr>
          <w:sz w:val="28"/>
          <w:szCs w:val="28"/>
          <w:lang w:val="en-US"/>
        </w:rPr>
        <w:t xml:space="preserve"> </w:t>
      </w:r>
      <w:proofErr w:type="spellStart"/>
      <w:r w:rsidRPr="00DC0382">
        <w:rPr>
          <w:sz w:val="28"/>
          <w:szCs w:val="28"/>
          <w:lang w:val="en-US"/>
        </w:rPr>
        <w:t>antiendotoxin</w:t>
      </w:r>
      <w:proofErr w:type="spellEnd"/>
      <w:r w:rsidR="005F5A90" w:rsidRPr="00DC0382">
        <w:rPr>
          <w:sz w:val="28"/>
          <w:szCs w:val="28"/>
          <w:lang w:val="en-US"/>
        </w:rPr>
        <w:t xml:space="preserve"> </w:t>
      </w:r>
      <w:proofErr w:type="spellStart"/>
      <w:r w:rsidRPr="00DC0382">
        <w:rPr>
          <w:sz w:val="28"/>
          <w:szCs w:val="28"/>
          <w:lang w:val="en-US"/>
        </w:rPr>
        <w:t>humoral</w:t>
      </w:r>
      <w:proofErr w:type="spellEnd"/>
      <w:r w:rsidRPr="00DC0382">
        <w:rPr>
          <w:sz w:val="28"/>
          <w:szCs w:val="28"/>
          <w:lang w:val="en-US"/>
        </w:rPr>
        <w:t xml:space="preserve"> immunity indices in the setting of the increased </w:t>
      </w:r>
      <w:proofErr w:type="spellStart"/>
      <w:r w:rsidRPr="00DC0382">
        <w:rPr>
          <w:sz w:val="28"/>
          <w:szCs w:val="28"/>
          <w:lang w:val="en-US"/>
        </w:rPr>
        <w:t>endotoxin</w:t>
      </w:r>
      <w:proofErr w:type="spellEnd"/>
      <w:r w:rsidRPr="00DC0382">
        <w:rPr>
          <w:sz w:val="28"/>
          <w:szCs w:val="28"/>
          <w:lang w:val="en-US"/>
        </w:rPr>
        <w:t xml:space="preserve"> concentrations.</w:t>
      </w:r>
      <w:proofErr w:type="gramEnd"/>
    </w:p>
    <w:p w:rsidR="003456AE" w:rsidRPr="00DC0382" w:rsidRDefault="003456AE" w:rsidP="003456AE">
      <w:pPr>
        <w:spacing w:after="0" w:line="360" w:lineRule="auto"/>
        <w:ind w:firstLine="709"/>
        <w:jc w:val="both"/>
        <w:rPr>
          <w:sz w:val="28"/>
          <w:szCs w:val="28"/>
          <w:lang w:val="uk-UA"/>
        </w:rPr>
      </w:pPr>
    </w:p>
    <w:p w:rsidR="003456AE" w:rsidRPr="00DC0382" w:rsidRDefault="003456AE" w:rsidP="003456AE">
      <w:pPr>
        <w:spacing w:after="0" w:line="360" w:lineRule="auto"/>
        <w:ind w:firstLine="709"/>
        <w:jc w:val="both"/>
        <w:rPr>
          <w:rFonts w:eastAsiaTheme="minorEastAsia"/>
          <w:sz w:val="28"/>
          <w:szCs w:val="28"/>
          <w:lang w:val="uk-UA" w:eastAsia="zh-CN"/>
        </w:rPr>
      </w:pPr>
    </w:p>
    <w:sectPr w:rsidR="003456AE" w:rsidRPr="00DC0382" w:rsidSect="00A02EA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70FF0"/>
    <w:multiLevelType w:val="hybridMultilevel"/>
    <w:tmpl w:val="3A6251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C3D7CE7"/>
    <w:multiLevelType w:val="hybridMultilevel"/>
    <w:tmpl w:val="BB2AF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357"/>
  <w:doNotHyphenateCaps/>
  <w:drawingGridHorizontalSpacing w:val="120"/>
  <w:displayHorizontalDrawingGridEvery w:val="2"/>
  <w:characterSpacingControl w:val="doNotCompress"/>
  <w:compat/>
  <w:rsids>
    <w:rsidRoot w:val="00A02EAA"/>
    <w:rsid w:val="00002711"/>
    <w:rsid w:val="0000277C"/>
    <w:rsid w:val="00002CEB"/>
    <w:rsid w:val="0000536C"/>
    <w:rsid w:val="00007F9C"/>
    <w:rsid w:val="00011416"/>
    <w:rsid w:val="00012129"/>
    <w:rsid w:val="0001215F"/>
    <w:rsid w:val="00012A87"/>
    <w:rsid w:val="00013F31"/>
    <w:rsid w:val="0001457A"/>
    <w:rsid w:val="00016424"/>
    <w:rsid w:val="0001721E"/>
    <w:rsid w:val="00020796"/>
    <w:rsid w:val="00021B57"/>
    <w:rsid w:val="000225DF"/>
    <w:rsid w:val="000226F3"/>
    <w:rsid w:val="00024761"/>
    <w:rsid w:val="0002598E"/>
    <w:rsid w:val="00030541"/>
    <w:rsid w:val="0003139F"/>
    <w:rsid w:val="0003299B"/>
    <w:rsid w:val="00032F84"/>
    <w:rsid w:val="0003653F"/>
    <w:rsid w:val="00036A30"/>
    <w:rsid w:val="00036BDD"/>
    <w:rsid w:val="00036DC3"/>
    <w:rsid w:val="00037B45"/>
    <w:rsid w:val="00037FFE"/>
    <w:rsid w:val="00040F6D"/>
    <w:rsid w:val="00041FBA"/>
    <w:rsid w:val="00042DE6"/>
    <w:rsid w:val="000445C5"/>
    <w:rsid w:val="00045179"/>
    <w:rsid w:val="0004526E"/>
    <w:rsid w:val="000465C0"/>
    <w:rsid w:val="000467E6"/>
    <w:rsid w:val="00047C9E"/>
    <w:rsid w:val="00050CA7"/>
    <w:rsid w:val="00051AB9"/>
    <w:rsid w:val="00051C6C"/>
    <w:rsid w:val="00052A66"/>
    <w:rsid w:val="000561FD"/>
    <w:rsid w:val="00057C18"/>
    <w:rsid w:val="000600A8"/>
    <w:rsid w:val="000612C6"/>
    <w:rsid w:val="00061D06"/>
    <w:rsid w:val="00064AF7"/>
    <w:rsid w:val="00065875"/>
    <w:rsid w:val="00065D3E"/>
    <w:rsid w:val="0006633F"/>
    <w:rsid w:val="0006650A"/>
    <w:rsid w:val="00066F1C"/>
    <w:rsid w:val="000675ED"/>
    <w:rsid w:val="00067C35"/>
    <w:rsid w:val="000702AC"/>
    <w:rsid w:val="00070EC3"/>
    <w:rsid w:val="00071A9F"/>
    <w:rsid w:val="00072F0E"/>
    <w:rsid w:val="00073380"/>
    <w:rsid w:val="00073FB7"/>
    <w:rsid w:val="00074483"/>
    <w:rsid w:val="00075A88"/>
    <w:rsid w:val="00075E09"/>
    <w:rsid w:val="00081D62"/>
    <w:rsid w:val="000828A5"/>
    <w:rsid w:val="0008298B"/>
    <w:rsid w:val="00084750"/>
    <w:rsid w:val="00084989"/>
    <w:rsid w:val="00084DC6"/>
    <w:rsid w:val="000856E7"/>
    <w:rsid w:val="00085847"/>
    <w:rsid w:val="000860BB"/>
    <w:rsid w:val="00086227"/>
    <w:rsid w:val="000865A5"/>
    <w:rsid w:val="000872B2"/>
    <w:rsid w:val="00092EE1"/>
    <w:rsid w:val="00094896"/>
    <w:rsid w:val="00094A35"/>
    <w:rsid w:val="00094E21"/>
    <w:rsid w:val="00095121"/>
    <w:rsid w:val="000956F5"/>
    <w:rsid w:val="00096689"/>
    <w:rsid w:val="00097AEA"/>
    <w:rsid w:val="000A55C0"/>
    <w:rsid w:val="000A56C3"/>
    <w:rsid w:val="000A5CDE"/>
    <w:rsid w:val="000A7C9D"/>
    <w:rsid w:val="000B0FD7"/>
    <w:rsid w:val="000B1652"/>
    <w:rsid w:val="000B1A63"/>
    <w:rsid w:val="000B2FB2"/>
    <w:rsid w:val="000B400F"/>
    <w:rsid w:val="000B7CED"/>
    <w:rsid w:val="000C26C4"/>
    <w:rsid w:val="000C3424"/>
    <w:rsid w:val="000C696B"/>
    <w:rsid w:val="000D4D98"/>
    <w:rsid w:val="000D506A"/>
    <w:rsid w:val="000D602C"/>
    <w:rsid w:val="000D6B66"/>
    <w:rsid w:val="000E0324"/>
    <w:rsid w:val="000E20E7"/>
    <w:rsid w:val="000E25EC"/>
    <w:rsid w:val="000E2E7A"/>
    <w:rsid w:val="000E31FD"/>
    <w:rsid w:val="000E5858"/>
    <w:rsid w:val="000E586A"/>
    <w:rsid w:val="000E59E2"/>
    <w:rsid w:val="000E5B9E"/>
    <w:rsid w:val="000F09D2"/>
    <w:rsid w:val="000F10E4"/>
    <w:rsid w:val="000F1256"/>
    <w:rsid w:val="000F2F47"/>
    <w:rsid w:val="000F3825"/>
    <w:rsid w:val="000F59D1"/>
    <w:rsid w:val="000F686E"/>
    <w:rsid w:val="000F6CEC"/>
    <w:rsid w:val="000F7D84"/>
    <w:rsid w:val="000F7F9C"/>
    <w:rsid w:val="0010093D"/>
    <w:rsid w:val="00100F26"/>
    <w:rsid w:val="00102CFE"/>
    <w:rsid w:val="00102E0D"/>
    <w:rsid w:val="001035EB"/>
    <w:rsid w:val="0010378D"/>
    <w:rsid w:val="00105B7E"/>
    <w:rsid w:val="001067F8"/>
    <w:rsid w:val="001109B4"/>
    <w:rsid w:val="00112220"/>
    <w:rsid w:val="00112CB1"/>
    <w:rsid w:val="001135C1"/>
    <w:rsid w:val="00114565"/>
    <w:rsid w:val="00115B6C"/>
    <w:rsid w:val="00116ED1"/>
    <w:rsid w:val="0012099D"/>
    <w:rsid w:val="00122084"/>
    <w:rsid w:val="00122320"/>
    <w:rsid w:val="00122CB0"/>
    <w:rsid w:val="00122D55"/>
    <w:rsid w:val="00122E30"/>
    <w:rsid w:val="0012364D"/>
    <w:rsid w:val="001245CF"/>
    <w:rsid w:val="00124912"/>
    <w:rsid w:val="00126999"/>
    <w:rsid w:val="001305DC"/>
    <w:rsid w:val="00131DA8"/>
    <w:rsid w:val="00134F7A"/>
    <w:rsid w:val="00136C78"/>
    <w:rsid w:val="00143517"/>
    <w:rsid w:val="001435AD"/>
    <w:rsid w:val="00145123"/>
    <w:rsid w:val="00150F9C"/>
    <w:rsid w:val="00154D28"/>
    <w:rsid w:val="00155299"/>
    <w:rsid w:val="001561FA"/>
    <w:rsid w:val="00160051"/>
    <w:rsid w:val="00161821"/>
    <w:rsid w:val="00161E10"/>
    <w:rsid w:val="001621A7"/>
    <w:rsid w:val="001621E3"/>
    <w:rsid w:val="00162794"/>
    <w:rsid w:val="00162800"/>
    <w:rsid w:val="001634D2"/>
    <w:rsid w:val="001642DC"/>
    <w:rsid w:val="001643B2"/>
    <w:rsid w:val="00166698"/>
    <w:rsid w:val="00167F5C"/>
    <w:rsid w:val="00170807"/>
    <w:rsid w:val="0017124E"/>
    <w:rsid w:val="001715DF"/>
    <w:rsid w:val="00171B3F"/>
    <w:rsid w:val="001755BA"/>
    <w:rsid w:val="00176ADC"/>
    <w:rsid w:val="00180C1C"/>
    <w:rsid w:val="00180D1F"/>
    <w:rsid w:val="0018171C"/>
    <w:rsid w:val="00181770"/>
    <w:rsid w:val="00187214"/>
    <w:rsid w:val="0018774B"/>
    <w:rsid w:val="00191F92"/>
    <w:rsid w:val="0019350C"/>
    <w:rsid w:val="00194336"/>
    <w:rsid w:val="00196455"/>
    <w:rsid w:val="001A0065"/>
    <w:rsid w:val="001A0A34"/>
    <w:rsid w:val="001A14FC"/>
    <w:rsid w:val="001A3B74"/>
    <w:rsid w:val="001A3FDC"/>
    <w:rsid w:val="001A5F9B"/>
    <w:rsid w:val="001A634D"/>
    <w:rsid w:val="001A65E6"/>
    <w:rsid w:val="001A78E2"/>
    <w:rsid w:val="001B2AD4"/>
    <w:rsid w:val="001B32E3"/>
    <w:rsid w:val="001B52D5"/>
    <w:rsid w:val="001B53F3"/>
    <w:rsid w:val="001B5841"/>
    <w:rsid w:val="001B67A5"/>
    <w:rsid w:val="001B69FA"/>
    <w:rsid w:val="001B7C40"/>
    <w:rsid w:val="001C098F"/>
    <w:rsid w:val="001C17A2"/>
    <w:rsid w:val="001C20A4"/>
    <w:rsid w:val="001C20D6"/>
    <w:rsid w:val="001C2B45"/>
    <w:rsid w:val="001C516C"/>
    <w:rsid w:val="001C51C8"/>
    <w:rsid w:val="001C6D4A"/>
    <w:rsid w:val="001C793E"/>
    <w:rsid w:val="001C7AE7"/>
    <w:rsid w:val="001C7D89"/>
    <w:rsid w:val="001C7FCB"/>
    <w:rsid w:val="001D1FAD"/>
    <w:rsid w:val="001D2943"/>
    <w:rsid w:val="001D3A78"/>
    <w:rsid w:val="001D45FE"/>
    <w:rsid w:val="001D505A"/>
    <w:rsid w:val="001D58C0"/>
    <w:rsid w:val="001D60EC"/>
    <w:rsid w:val="001D78EB"/>
    <w:rsid w:val="001D7BB6"/>
    <w:rsid w:val="001E00CA"/>
    <w:rsid w:val="001E05EB"/>
    <w:rsid w:val="001E30D5"/>
    <w:rsid w:val="001E36D7"/>
    <w:rsid w:val="001E56C6"/>
    <w:rsid w:val="001E7EF8"/>
    <w:rsid w:val="001F1009"/>
    <w:rsid w:val="001F1CA7"/>
    <w:rsid w:val="001F29E2"/>
    <w:rsid w:val="001F434C"/>
    <w:rsid w:val="001F517C"/>
    <w:rsid w:val="001F557A"/>
    <w:rsid w:val="001F7547"/>
    <w:rsid w:val="001F7E30"/>
    <w:rsid w:val="00201686"/>
    <w:rsid w:val="00202B33"/>
    <w:rsid w:val="00202EC9"/>
    <w:rsid w:val="00203654"/>
    <w:rsid w:val="00203A13"/>
    <w:rsid w:val="00206871"/>
    <w:rsid w:val="002075CC"/>
    <w:rsid w:val="0021200B"/>
    <w:rsid w:val="002121BE"/>
    <w:rsid w:val="00212E52"/>
    <w:rsid w:val="002138A1"/>
    <w:rsid w:val="002153D6"/>
    <w:rsid w:val="00216E1C"/>
    <w:rsid w:val="0021739E"/>
    <w:rsid w:val="00217F30"/>
    <w:rsid w:val="00221773"/>
    <w:rsid w:val="002277C6"/>
    <w:rsid w:val="00230A54"/>
    <w:rsid w:val="00232FBD"/>
    <w:rsid w:val="00233641"/>
    <w:rsid w:val="00233755"/>
    <w:rsid w:val="00233CFB"/>
    <w:rsid w:val="00234368"/>
    <w:rsid w:val="00234FE6"/>
    <w:rsid w:val="002352D2"/>
    <w:rsid w:val="00235B31"/>
    <w:rsid w:val="0023646A"/>
    <w:rsid w:val="002372FD"/>
    <w:rsid w:val="00237E46"/>
    <w:rsid w:val="00240487"/>
    <w:rsid w:val="002407A2"/>
    <w:rsid w:val="00240980"/>
    <w:rsid w:val="00241796"/>
    <w:rsid w:val="00244765"/>
    <w:rsid w:val="00245116"/>
    <w:rsid w:val="0025044B"/>
    <w:rsid w:val="00250ECD"/>
    <w:rsid w:val="00251287"/>
    <w:rsid w:val="0025162D"/>
    <w:rsid w:val="0025200C"/>
    <w:rsid w:val="00252CC1"/>
    <w:rsid w:val="00252DFF"/>
    <w:rsid w:val="0025561D"/>
    <w:rsid w:val="002559F0"/>
    <w:rsid w:val="00255A51"/>
    <w:rsid w:val="00255F41"/>
    <w:rsid w:val="0026067D"/>
    <w:rsid w:val="00263ABB"/>
    <w:rsid w:val="002667E0"/>
    <w:rsid w:val="00267909"/>
    <w:rsid w:val="002716F5"/>
    <w:rsid w:val="00271951"/>
    <w:rsid w:val="0027249C"/>
    <w:rsid w:val="002726D5"/>
    <w:rsid w:val="0027327E"/>
    <w:rsid w:val="002737CB"/>
    <w:rsid w:val="00273D2A"/>
    <w:rsid w:val="0027437A"/>
    <w:rsid w:val="002744F6"/>
    <w:rsid w:val="00274D4F"/>
    <w:rsid w:val="002767AA"/>
    <w:rsid w:val="00276BED"/>
    <w:rsid w:val="002800F3"/>
    <w:rsid w:val="00281FBE"/>
    <w:rsid w:val="002825E5"/>
    <w:rsid w:val="00282F8D"/>
    <w:rsid w:val="0028377D"/>
    <w:rsid w:val="002846AC"/>
    <w:rsid w:val="00284A3A"/>
    <w:rsid w:val="002855FC"/>
    <w:rsid w:val="00285785"/>
    <w:rsid w:val="00285B00"/>
    <w:rsid w:val="00285DE6"/>
    <w:rsid w:val="00286B8A"/>
    <w:rsid w:val="002874BA"/>
    <w:rsid w:val="00287B9B"/>
    <w:rsid w:val="00287C28"/>
    <w:rsid w:val="00293F81"/>
    <w:rsid w:val="00295AAB"/>
    <w:rsid w:val="00296513"/>
    <w:rsid w:val="00296916"/>
    <w:rsid w:val="00297632"/>
    <w:rsid w:val="00297B47"/>
    <w:rsid w:val="002A0288"/>
    <w:rsid w:val="002A06AC"/>
    <w:rsid w:val="002A1211"/>
    <w:rsid w:val="002A14E5"/>
    <w:rsid w:val="002A20F4"/>
    <w:rsid w:val="002A22DC"/>
    <w:rsid w:val="002A2320"/>
    <w:rsid w:val="002A37D7"/>
    <w:rsid w:val="002A3A12"/>
    <w:rsid w:val="002A3F96"/>
    <w:rsid w:val="002A486F"/>
    <w:rsid w:val="002A6143"/>
    <w:rsid w:val="002B447E"/>
    <w:rsid w:val="002B5334"/>
    <w:rsid w:val="002B5B60"/>
    <w:rsid w:val="002B5FD9"/>
    <w:rsid w:val="002B7D71"/>
    <w:rsid w:val="002C1259"/>
    <w:rsid w:val="002C26E7"/>
    <w:rsid w:val="002C2BF1"/>
    <w:rsid w:val="002C30B4"/>
    <w:rsid w:val="002C341A"/>
    <w:rsid w:val="002C4137"/>
    <w:rsid w:val="002C5DF2"/>
    <w:rsid w:val="002C60ED"/>
    <w:rsid w:val="002C7142"/>
    <w:rsid w:val="002D1CBE"/>
    <w:rsid w:val="002D2A1B"/>
    <w:rsid w:val="002D54BA"/>
    <w:rsid w:val="002D70F7"/>
    <w:rsid w:val="002D7F17"/>
    <w:rsid w:val="002E0F1D"/>
    <w:rsid w:val="002E355D"/>
    <w:rsid w:val="002E7396"/>
    <w:rsid w:val="002E75CD"/>
    <w:rsid w:val="002E7A87"/>
    <w:rsid w:val="002E7A9C"/>
    <w:rsid w:val="002F05B3"/>
    <w:rsid w:val="002F06DB"/>
    <w:rsid w:val="002F2D37"/>
    <w:rsid w:val="002F41C9"/>
    <w:rsid w:val="002F57D5"/>
    <w:rsid w:val="00300659"/>
    <w:rsid w:val="003012F9"/>
    <w:rsid w:val="0030130C"/>
    <w:rsid w:val="0030148E"/>
    <w:rsid w:val="00301B7A"/>
    <w:rsid w:val="003024A0"/>
    <w:rsid w:val="00310258"/>
    <w:rsid w:val="00310CEB"/>
    <w:rsid w:val="00311EDD"/>
    <w:rsid w:val="003130E1"/>
    <w:rsid w:val="003131B9"/>
    <w:rsid w:val="00314765"/>
    <w:rsid w:val="00314C13"/>
    <w:rsid w:val="0031597A"/>
    <w:rsid w:val="00315C26"/>
    <w:rsid w:val="00315E8D"/>
    <w:rsid w:val="00316DC7"/>
    <w:rsid w:val="00320B17"/>
    <w:rsid w:val="00320B7E"/>
    <w:rsid w:val="00320F10"/>
    <w:rsid w:val="0032395C"/>
    <w:rsid w:val="003240DF"/>
    <w:rsid w:val="003245E8"/>
    <w:rsid w:val="00324869"/>
    <w:rsid w:val="00325681"/>
    <w:rsid w:val="00326B0C"/>
    <w:rsid w:val="00327863"/>
    <w:rsid w:val="003313F2"/>
    <w:rsid w:val="00331BE1"/>
    <w:rsid w:val="00334667"/>
    <w:rsid w:val="0033540C"/>
    <w:rsid w:val="00335804"/>
    <w:rsid w:val="00336232"/>
    <w:rsid w:val="003371CF"/>
    <w:rsid w:val="00337AD1"/>
    <w:rsid w:val="003406D8"/>
    <w:rsid w:val="00340952"/>
    <w:rsid w:val="00340CB7"/>
    <w:rsid w:val="00340DDB"/>
    <w:rsid w:val="003417F3"/>
    <w:rsid w:val="00342269"/>
    <w:rsid w:val="00342888"/>
    <w:rsid w:val="003456AE"/>
    <w:rsid w:val="00346091"/>
    <w:rsid w:val="00346C00"/>
    <w:rsid w:val="00346E85"/>
    <w:rsid w:val="0035096D"/>
    <w:rsid w:val="00350F90"/>
    <w:rsid w:val="00351F57"/>
    <w:rsid w:val="00353920"/>
    <w:rsid w:val="0035607A"/>
    <w:rsid w:val="00356659"/>
    <w:rsid w:val="00357108"/>
    <w:rsid w:val="003576AD"/>
    <w:rsid w:val="003604DC"/>
    <w:rsid w:val="00361B24"/>
    <w:rsid w:val="00362E0E"/>
    <w:rsid w:val="00363179"/>
    <w:rsid w:val="0036319C"/>
    <w:rsid w:val="00363ADA"/>
    <w:rsid w:val="003661BF"/>
    <w:rsid w:val="00367AD3"/>
    <w:rsid w:val="00370C9A"/>
    <w:rsid w:val="00371306"/>
    <w:rsid w:val="00372EFC"/>
    <w:rsid w:val="003758D9"/>
    <w:rsid w:val="00375A5F"/>
    <w:rsid w:val="00376019"/>
    <w:rsid w:val="0037622B"/>
    <w:rsid w:val="00376A89"/>
    <w:rsid w:val="00376CCC"/>
    <w:rsid w:val="00377CB2"/>
    <w:rsid w:val="00380AEA"/>
    <w:rsid w:val="0038110B"/>
    <w:rsid w:val="00381542"/>
    <w:rsid w:val="00382047"/>
    <w:rsid w:val="00382989"/>
    <w:rsid w:val="00382C43"/>
    <w:rsid w:val="00382D9E"/>
    <w:rsid w:val="00382E46"/>
    <w:rsid w:val="00382F07"/>
    <w:rsid w:val="00384333"/>
    <w:rsid w:val="00385B1F"/>
    <w:rsid w:val="0038657D"/>
    <w:rsid w:val="003872AF"/>
    <w:rsid w:val="003905D4"/>
    <w:rsid w:val="00390701"/>
    <w:rsid w:val="00392062"/>
    <w:rsid w:val="00392994"/>
    <w:rsid w:val="00394602"/>
    <w:rsid w:val="00395FF2"/>
    <w:rsid w:val="00396BED"/>
    <w:rsid w:val="00396D4B"/>
    <w:rsid w:val="003970C5"/>
    <w:rsid w:val="003973A8"/>
    <w:rsid w:val="00397BD5"/>
    <w:rsid w:val="003A1604"/>
    <w:rsid w:val="003A1BBD"/>
    <w:rsid w:val="003A353B"/>
    <w:rsid w:val="003A52D2"/>
    <w:rsid w:val="003A602D"/>
    <w:rsid w:val="003A6074"/>
    <w:rsid w:val="003A7EB8"/>
    <w:rsid w:val="003B034E"/>
    <w:rsid w:val="003B1181"/>
    <w:rsid w:val="003B1C91"/>
    <w:rsid w:val="003B5A18"/>
    <w:rsid w:val="003B6CFB"/>
    <w:rsid w:val="003B764E"/>
    <w:rsid w:val="003C1CF7"/>
    <w:rsid w:val="003C3B60"/>
    <w:rsid w:val="003C3EBF"/>
    <w:rsid w:val="003C48E1"/>
    <w:rsid w:val="003C4C2A"/>
    <w:rsid w:val="003C6C99"/>
    <w:rsid w:val="003D0855"/>
    <w:rsid w:val="003D1475"/>
    <w:rsid w:val="003D1994"/>
    <w:rsid w:val="003D2419"/>
    <w:rsid w:val="003D2605"/>
    <w:rsid w:val="003D2D4F"/>
    <w:rsid w:val="003D2ED1"/>
    <w:rsid w:val="003D5CB7"/>
    <w:rsid w:val="003D64B4"/>
    <w:rsid w:val="003D73D9"/>
    <w:rsid w:val="003D7634"/>
    <w:rsid w:val="003E1661"/>
    <w:rsid w:val="003E22FA"/>
    <w:rsid w:val="003E2E13"/>
    <w:rsid w:val="003E460F"/>
    <w:rsid w:val="003E467F"/>
    <w:rsid w:val="003E4E91"/>
    <w:rsid w:val="003E5C1C"/>
    <w:rsid w:val="003E635C"/>
    <w:rsid w:val="003E6D5E"/>
    <w:rsid w:val="003E76FC"/>
    <w:rsid w:val="003F05E4"/>
    <w:rsid w:val="003F0FA4"/>
    <w:rsid w:val="003F1DB5"/>
    <w:rsid w:val="003F241B"/>
    <w:rsid w:val="003F3226"/>
    <w:rsid w:val="003F39A8"/>
    <w:rsid w:val="003F5070"/>
    <w:rsid w:val="003F6164"/>
    <w:rsid w:val="003F65B5"/>
    <w:rsid w:val="003F762A"/>
    <w:rsid w:val="003F768E"/>
    <w:rsid w:val="003F7FE8"/>
    <w:rsid w:val="00400A80"/>
    <w:rsid w:val="00402443"/>
    <w:rsid w:val="00403642"/>
    <w:rsid w:val="00403DF7"/>
    <w:rsid w:val="004049F8"/>
    <w:rsid w:val="00412CE0"/>
    <w:rsid w:val="00413688"/>
    <w:rsid w:val="00413CF5"/>
    <w:rsid w:val="004144EF"/>
    <w:rsid w:val="00415636"/>
    <w:rsid w:val="004178CE"/>
    <w:rsid w:val="00420583"/>
    <w:rsid w:val="004209CF"/>
    <w:rsid w:val="00422789"/>
    <w:rsid w:val="004232CC"/>
    <w:rsid w:val="00423764"/>
    <w:rsid w:val="00426817"/>
    <w:rsid w:val="0042712B"/>
    <w:rsid w:val="0043038A"/>
    <w:rsid w:val="00430CBC"/>
    <w:rsid w:val="00432F89"/>
    <w:rsid w:val="00433680"/>
    <w:rsid w:val="00434BC5"/>
    <w:rsid w:val="0043705F"/>
    <w:rsid w:val="0043708D"/>
    <w:rsid w:val="004376E6"/>
    <w:rsid w:val="004434CF"/>
    <w:rsid w:val="00443C5F"/>
    <w:rsid w:val="0044490C"/>
    <w:rsid w:val="0044509C"/>
    <w:rsid w:val="00447C24"/>
    <w:rsid w:val="00447DA2"/>
    <w:rsid w:val="00447F2D"/>
    <w:rsid w:val="00451283"/>
    <w:rsid w:val="00451D66"/>
    <w:rsid w:val="004546AF"/>
    <w:rsid w:val="00456492"/>
    <w:rsid w:val="004572C3"/>
    <w:rsid w:val="004572E7"/>
    <w:rsid w:val="00457782"/>
    <w:rsid w:val="0045797C"/>
    <w:rsid w:val="004608B4"/>
    <w:rsid w:val="00461E58"/>
    <w:rsid w:val="00464E8E"/>
    <w:rsid w:val="00465EC6"/>
    <w:rsid w:val="00466206"/>
    <w:rsid w:val="00466DDB"/>
    <w:rsid w:val="004674BA"/>
    <w:rsid w:val="004678B1"/>
    <w:rsid w:val="00470A10"/>
    <w:rsid w:val="00470FC3"/>
    <w:rsid w:val="00472F83"/>
    <w:rsid w:val="0047462E"/>
    <w:rsid w:val="00476E3F"/>
    <w:rsid w:val="00477605"/>
    <w:rsid w:val="004778EE"/>
    <w:rsid w:val="00477C79"/>
    <w:rsid w:val="00477D3A"/>
    <w:rsid w:val="00482F0F"/>
    <w:rsid w:val="00485A63"/>
    <w:rsid w:val="00487C99"/>
    <w:rsid w:val="00492AF2"/>
    <w:rsid w:val="00493335"/>
    <w:rsid w:val="00495CED"/>
    <w:rsid w:val="0049649F"/>
    <w:rsid w:val="00496E90"/>
    <w:rsid w:val="004A165D"/>
    <w:rsid w:val="004A1BB7"/>
    <w:rsid w:val="004A1E58"/>
    <w:rsid w:val="004A3070"/>
    <w:rsid w:val="004A32B6"/>
    <w:rsid w:val="004A4E79"/>
    <w:rsid w:val="004A5132"/>
    <w:rsid w:val="004A72F5"/>
    <w:rsid w:val="004A7BF4"/>
    <w:rsid w:val="004B09A6"/>
    <w:rsid w:val="004B0DB3"/>
    <w:rsid w:val="004B105F"/>
    <w:rsid w:val="004B2568"/>
    <w:rsid w:val="004B2A71"/>
    <w:rsid w:val="004B4766"/>
    <w:rsid w:val="004B483B"/>
    <w:rsid w:val="004B5B6A"/>
    <w:rsid w:val="004B71C5"/>
    <w:rsid w:val="004B7EAD"/>
    <w:rsid w:val="004C084C"/>
    <w:rsid w:val="004C0B6C"/>
    <w:rsid w:val="004C1B9E"/>
    <w:rsid w:val="004C502A"/>
    <w:rsid w:val="004C508A"/>
    <w:rsid w:val="004C6E6A"/>
    <w:rsid w:val="004D12FC"/>
    <w:rsid w:val="004D7B3D"/>
    <w:rsid w:val="004E39E7"/>
    <w:rsid w:val="004F2CEC"/>
    <w:rsid w:val="004F36C4"/>
    <w:rsid w:val="004F3CA8"/>
    <w:rsid w:val="004F4180"/>
    <w:rsid w:val="004F430D"/>
    <w:rsid w:val="004F5B1F"/>
    <w:rsid w:val="004F5B91"/>
    <w:rsid w:val="004F5F92"/>
    <w:rsid w:val="004F63B7"/>
    <w:rsid w:val="004F6994"/>
    <w:rsid w:val="00501717"/>
    <w:rsid w:val="00501AE0"/>
    <w:rsid w:val="00505DAF"/>
    <w:rsid w:val="00507185"/>
    <w:rsid w:val="00507CE6"/>
    <w:rsid w:val="00510B22"/>
    <w:rsid w:val="00511B9A"/>
    <w:rsid w:val="0051207E"/>
    <w:rsid w:val="005125AE"/>
    <w:rsid w:val="00512632"/>
    <w:rsid w:val="00512AC1"/>
    <w:rsid w:val="00514C08"/>
    <w:rsid w:val="005154CA"/>
    <w:rsid w:val="005155E1"/>
    <w:rsid w:val="00515B16"/>
    <w:rsid w:val="005168C1"/>
    <w:rsid w:val="00520B5C"/>
    <w:rsid w:val="00520B9D"/>
    <w:rsid w:val="005221C9"/>
    <w:rsid w:val="00523866"/>
    <w:rsid w:val="00523A5C"/>
    <w:rsid w:val="0053003F"/>
    <w:rsid w:val="0053010C"/>
    <w:rsid w:val="005304E8"/>
    <w:rsid w:val="005315D3"/>
    <w:rsid w:val="00531E83"/>
    <w:rsid w:val="00532B63"/>
    <w:rsid w:val="00532E42"/>
    <w:rsid w:val="00534B2B"/>
    <w:rsid w:val="005356F2"/>
    <w:rsid w:val="00535CA2"/>
    <w:rsid w:val="00537CE1"/>
    <w:rsid w:val="00537FBD"/>
    <w:rsid w:val="005400AE"/>
    <w:rsid w:val="00544D76"/>
    <w:rsid w:val="00544F42"/>
    <w:rsid w:val="00546899"/>
    <w:rsid w:val="00546D91"/>
    <w:rsid w:val="00547038"/>
    <w:rsid w:val="005502F3"/>
    <w:rsid w:val="00554C58"/>
    <w:rsid w:val="00554FAF"/>
    <w:rsid w:val="00555BA2"/>
    <w:rsid w:val="00557054"/>
    <w:rsid w:val="00557496"/>
    <w:rsid w:val="00557ACB"/>
    <w:rsid w:val="005626CC"/>
    <w:rsid w:val="00565A09"/>
    <w:rsid w:val="00566105"/>
    <w:rsid w:val="005666D1"/>
    <w:rsid w:val="0057378F"/>
    <w:rsid w:val="00573DEF"/>
    <w:rsid w:val="00575767"/>
    <w:rsid w:val="005775CF"/>
    <w:rsid w:val="0057784D"/>
    <w:rsid w:val="00580836"/>
    <w:rsid w:val="00581256"/>
    <w:rsid w:val="00582F08"/>
    <w:rsid w:val="00585210"/>
    <w:rsid w:val="00585BD9"/>
    <w:rsid w:val="005867BE"/>
    <w:rsid w:val="005906BB"/>
    <w:rsid w:val="0059171C"/>
    <w:rsid w:val="00591806"/>
    <w:rsid w:val="00592597"/>
    <w:rsid w:val="00592987"/>
    <w:rsid w:val="00594FC4"/>
    <w:rsid w:val="00596A81"/>
    <w:rsid w:val="00597195"/>
    <w:rsid w:val="005A0454"/>
    <w:rsid w:val="005A0EBA"/>
    <w:rsid w:val="005A1B2C"/>
    <w:rsid w:val="005A375A"/>
    <w:rsid w:val="005A577B"/>
    <w:rsid w:val="005B01F5"/>
    <w:rsid w:val="005B2500"/>
    <w:rsid w:val="005B27EF"/>
    <w:rsid w:val="005B316E"/>
    <w:rsid w:val="005B336B"/>
    <w:rsid w:val="005B7C2C"/>
    <w:rsid w:val="005B7D70"/>
    <w:rsid w:val="005C0C85"/>
    <w:rsid w:val="005C127C"/>
    <w:rsid w:val="005C167B"/>
    <w:rsid w:val="005C28D7"/>
    <w:rsid w:val="005C3B40"/>
    <w:rsid w:val="005C3FAD"/>
    <w:rsid w:val="005C3FF4"/>
    <w:rsid w:val="005C49FD"/>
    <w:rsid w:val="005C56DC"/>
    <w:rsid w:val="005C672D"/>
    <w:rsid w:val="005C698F"/>
    <w:rsid w:val="005C6CF7"/>
    <w:rsid w:val="005D226F"/>
    <w:rsid w:val="005D4D88"/>
    <w:rsid w:val="005D5742"/>
    <w:rsid w:val="005D575D"/>
    <w:rsid w:val="005D60BB"/>
    <w:rsid w:val="005D7AE1"/>
    <w:rsid w:val="005E1192"/>
    <w:rsid w:val="005E1B33"/>
    <w:rsid w:val="005E2A7C"/>
    <w:rsid w:val="005E3F62"/>
    <w:rsid w:val="005E422D"/>
    <w:rsid w:val="005E54DB"/>
    <w:rsid w:val="005E5E92"/>
    <w:rsid w:val="005E611A"/>
    <w:rsid w:val="005E740B"/>
    <w:rsid w:val="005F1014"/>
    <w:rsid w:val="005F213B"/>
    <w:rsid w:val="005F5A90"/>
    <w:rsid w:val="005F5F77"/>
    <w:rsid w:val="005F66BF"/>
    <w:rsid w:val="005F7282"/>
    <w:rsid w:val="005F74D1"/>
    <w:rsid w:val="00600DF1"/>
    <w:rsid w:val="006018CD"/>
    <w:rsid w:val="006021EF"/>
    <w:rsid w:val="0061089C"/>
    <w:rsid w:val="00611A5A"/>
    <w:rsid w:val="00611FEE"/>
    <w:rsid w:val="006136A0"/>
    <w:rsid w:val="006147EA"/>
    <w:rsid w:val="00614CA4"/>
    <w:rsid w:val="00614CEF"/>
    <w:rsid w:val="00616176"/>
    <w:rsid w:val="006167FA"/>
    <w:rsid w:val="006173E8"/>
    <w:rsid w:val="00617B6E"/>
    <w:rsid w:val="006209D0"/>
    <w:rsid w:val="00620C98"/>
    <w:rsid w:val="006216DD"/>
    <w:rsid w:val="006220E7"/>
    <w:rsid w:val="00622617"/>
    <w:rsid w:val="00622A22"/>
    <w:rsid w:val="006266FC"/>
    <w:rsid w:val="00627AC9"/>
    <w:rsid w:val="00630C87"/>
    <w:rsid w:val="006310D4"/>
    <w:rsid w:val="00631B32"/>
    <w:rsid w:val="00634098"/>
    <w:rsid w:val="00634863"/>
    <w:rsid w:val="00635795"/>
    <w:rsid w:val="00635E45"/>
    <w:rsid w:val="00635EE4"/>
    <w:rsid w:val="00636FD0"/>
    <w:rsid w:val="00640311"/>
    <w:rsid w:val="00640D06"/>
    <w:rsid w:val="006411D9"/>
    <w:rsid w:val="00641E69"/>
    <w:rsid w:val="006443FA"/>
    <w:rsid w:val="00645536"/>
    <w:rsid w:val="00646ACB"/>
    <w:rsid w:val="00651EC5"/>
    <w:rsid w:val="00654CF2"/>
    <w:rsid w:val="006563F1"/>
    <w:rsid w:val="00656D2D"/>
    <w:rsid w:val="006602DD"/>
    <w:rsid w:val="006605E8"/>
    <w:rsid w:val="00660843"/>
    <w:rsid w:val="006619E1"/>
    <w:rsid w:val="006620E1"/>
    <w:rsid w:val="0066250F"/>
    <w:rsid w:val="00662A67"/>
    <w:rsid w:val="0066325F"/>
    <w:rsid w:val="006633D6"/>
    <w:rsid w:val="00663D1E"/>
    <w:rsid w:val="0066466E"/>
    <w:rsid w:val="0066484E"/>
    <w:rsid w:val="00664FDD"/>
    <w:rsid w:val="006650CE"/>
    <w:rsid w:val="00665538"/>
    <w:rsid w:val="00671A08"/>
    <w:rsid w:val="006737E2"/>
    <w:rsid w:val="00673928"/>
    <w:rsid w:val="00673FDE"/>
    <w:rsid w:val="0067470F"/>
    <w:rsid w:val="00674BD8"/>
    <w:rsid w:val="006752D8"/>
    <w:rsid w:val="006754EA"/>
    <w:rsid w:val="00676541"/>
    <w:rsid w:val="00677147"/>
    <w:rsid w:val="006775CD"/>
    <w:rsid w:val="006778BA"/>
    <w:rsid w:val="00680365"/>
    <w:rsid w:val="0068319B"/>
    <w:rsid w:val="006833C0"/>
    <w:rsid w:val="006857D1"/>
    <w:rsid w:val="006859D2"/>
    <w:rsid w:val="006866A4"/>
    <w:rsid w:val="00686761"/>
    <w:rsid w:val="006874A3"/>
    <w:rsid w:val="00690728"/>
    <w:rsid w:val="0069228F"/>
    <w:rsid w:val="006922C2"/>
    <w:rsid w:val="00692F9C"/>
    <w:rsid w:val="00693686"/>
    <w:rsid w:val="00693886"/>
    <w:rsid w:val="00693A31"/>
    <w:rsid w:val="00694795"/>
    <w:rsid w:val="00694A72"/>
    <w:rsid w:val="00694B96"/>
    <w:rsid w:val="00695012"/>
    <w:rsid w:val="00696D6B"/>
    <w:rsid w:val="006A01C0"/>
    <w:rsid w:val="006A0235"/>
    <w:rsid w:val="006A0F6C"/>
    <w:rsid w:val="006A20FA"/>
    <w:rsid w:val="006A3629"/>
    <w:rsid w:val="006A3A16"/>
    <w:rsid w:val="006A3BF3"/>
    <w:rsid w:val="006A41FE"/>
    <w:rsid w:val="006A68ED"/>
    <w:rsid w:val="006A78C0"/>
    <w:rsid w:val="006B07C6"/>
    <w:rsid w:val="006B1669"/>
    <w:rsid w:val="006B22F5"/>
    <w:rsid w:val="006B34A2"/>
    <w:rsid w:val="006B5316"/>
    <w:rsid w:val="006B5F20"/>
    <w:rsid w:val="006B75FE"/>
    <w:rsid w:val="006B7DE9"/>
    <w:rsid w:val="006C106E"/>
    <w:rsid w:val="006C234D"/>
    <w:rsid w:val="006C2D5F"/>
    <w:rsid w:val="006C4A37"/>
    <w:rsid w:val="006C6230"/>
    <w:rsid w:val="006C66BA"/>
    <w:rsid w:val="006C692D"/>
    <w:rsid w:val="006C77D2"/>
    <w:rsid w:val="006C790E"/>
    <w:rsid w:val="006D0FDA"/>
    <w:rsid w:val="006D1E97"/>
    <w:rsid w:val="006D379E"/>
    <w:rsid w:val="006D51C3"/>
    <w:rsid w:val="006E0767"/>
    <w:rsid w:val="006E301F"/>
    <w:rsid w:val="006E3222"/>
    <w:rsid w:val="006E4624"/>
    <w:rsid w:val="006E49C5"/>
    <w:rsid w:val="006E6164"/>
    <w:rsid w:val="006E6636"/>
    <w:rsid w:val="006E733B"/>
    <w:rsid w:val="006F0BD4"/>
    <w:rsid w:val="006F1F9D"/>
    <w:rsid w:val="006F20F4"/>
    <w:rsid w:val="006F2714"/>
    <w:rsid w:val="006F29FC"/>
    <w:rsid w:val="006F47A4"/>
    <w:rsid w:val="006F5974"/>
    <w:rsid w:val="006F6520"/>
    <w:rsid w:val="006F71FC"/>
    <w:rsid w:val="007010EA"/>
    <w:rsid w:val="0070250E"/>
    <w:rsid w:val="00703F51"/>
    <w:rsid w:val="007043BC"/>
    <w:rsid w:val="0070577E"/>
    <w:rsid w:val="00705DCE"/>
    <w:rsid w:val="0070644E"/>
    <w:rsid w:val="0070793B"/>
    <w:rsid w:val="00707D5F"/>
    <w:rsid w:val="007136AD"/>
    <w:rsid w:val="00713EAA"/>
    <w:rsid w:val="00714456"/>
    <w:rsid w:val="00715D76"/>
    <w:rsid w:val="00716ECC"/>
    <w:rsid w:val="00717A25"/>
    <w:rsid w:val="00717DB0"/>
    <w:rsid w:val="0072031C"/>
    <w:rsid w:val="007204A3"/>
    <w:rsid w:val="00720C90"/>
    <w:rsid w:val="0072125C"/>
    <w:rsid w:val="00721B17"/>
    <w:rsid w:val="00722B15"/>
    <w:rsid w:val="00722B4B"/>
    <w:rsid w:val="00724080"/>
    <w:rsid w:val="007247EB"/>
    <w:rsid w:val="007259DB"/>
    <w:rsid w:val="00725B0E"/>
    <w:rsid w:val="00727D2E"/>
    <w:rsid w:val="007316E1"/>
    <w:rsid w:val="00731F44"/>
    <w:rsid w:val="00732684"/>
    <w:rsid w:val="00734870"/>
    <w:rsid w:val="007356CC"/>
    <w:rsid w:val="007356E8"/>
    <w:rsid w:val="007358F3"/>
    <w:rsid w:val="00736967"/>
    <w:rsid w:val="0073723D"/>
    <w:rsid w:val="00737892"/>
    <w:rsid w:val="007408BD"/>
    <w:rsid w:val="00743FDF"/>
    <w:rsid w:val="007455EC"/>
    <w:rsid w:val="00745801"/>
    <w:rsid w:val="007509ED"/>
    <w:rsid w:val="00750CAD"/>
    <w:rsid w:val="00750EC7"/>
    <w:rsid w:val="007518A6"/>
    <w:rsid w:val="0075247A"/>
    <w:rsid w:val="00752E6D"/>
    <w:rsid w:val="00753755"/>
    <w:rsid w:val="007551C1"/>
    <w:rsid w:val="0075689D"/>
    <w:rsid w:val="00757309"/>
    <w:rsid w:val="00761993"/>
    <w:rsid w:val="00763AB7"/>
    <w:rsid w:val="0076454D"/>
    <w:rsid w:val="00765B18"/>
    <w:rsid w:val="0076620D"/>
    <w:rsid w:val="0076720D"/>
    <w:rsid w:val="00767AB8"/>
    <w:rsid w:val="00770A9A"/>
    <w:rsid w:val="00770AAE"/>
    <w:rsid w:val="0077172F"/>
    <w:rsid w:val="00773146"/>
    <w:rsid w:val="007744E7"/>
    <w:rsid w:val="00774877"/>
    <w:rsid w:val="007756CD"/>
    <w:rsid w:val="0077709D"/>
    <w:rsid w:val="00777FDB"/>
    <w:rsid w:val="007842C6"/>
    <w:rsid w:val="00784464"/>
    <w:rsid w:val="007857BF"/>
    <w:rsid w:val="00786100"/>
    <w:rsid w:val="00787C22"/>
    <w:rsid w:val="00791C56"/>
    <w:rsid w:val="00795074"/>
    <w:rsid w:val="0079536C"/>
    <w:rsid w:val="00795F10"/>
    <w:rsid w:val="007968B8"/>
    <w:rsid w:val="007A1911"/>
    <w:rsid w:val="007A404C"/>
    <w:rsid w:val="007A45B4"/>
    <w:rsid w:val="007A45B7"/>
    <w:rsid w:val="007A4CB4"/>
    <w:rsid w:val="007A6075"/>
    <w:rsid w:val="007A6C2E"/>
    <w:rsid w:val="007B0429"/>
    <w:rsid w:val="007B0C21"/>
    <w:rsid w:val="007B332A"/>
    <w:rsid w:val="007B6321"/>
    <w:rsid w:val="007B6C75"/>
    <w:rsid w:val="007B705E"/>
    <w:rsid w:val="007B73B6"/>
    <w:rsid w:val="007B7C29"/>
    <w:rsid w:val="007C10C5"/>
    <w:rsid w:val="007C4F92"/>
    <w:rsid w:val="007C5BF4"/>
    <w:rsid w:val="007C5C7C"/>
    <w:rsid w:val="007C7B33"/>
    <w:rsid w:val="007D171E"/>
    <w:rsid w:val="007D2A13"/>
    <w:rsid w:val="007D2BDB"/>
    <w:rsid w:val="007D5668"/>
    <w:rsid w:val="007D5F77"/>
    <w:rsid w:val="007D6E0D"/>
    <w:rsid w:val="007D71AF"/>
    <w:rsid w:val="007D7FC1"/>
    <w:rsid w:val="007E073E"/>
    <w:rsid w:val="007E254B"/>
    <w:rsid w:val="007E278D"/>
    <w:rsid w:val="007E2D2E"/>
    <w:rsid w:val="007E319E"/>
    <w:rsid w:val="007E39F8"/>
    <w:rsid w:val="007E5214"/>
    <w:rsid w:val="007E6A63"/>
    <w:rsid w:val="007E720C"/>
    <w:rsid w:val="007E73E8"/>
    <w:rsid w:val="007E740F"/>
    <w:rsid w:val="007E7726"/>
    <w:rsid w:val="007E7CEA"/>
    <w:rsid w:val="007E7D34"/>
    <w:rsid w:val="007F0103"/>
    <w:rsid w:val="007F18DA"/>
    <w:rsid w:val="007F39DC"/>
    <w:rsid w:val="007F3B49"/>
    <w:rsid w:val="007F4954"/>
    <w:rsid w:val="007F4F9A"/>
    <w:rsid w:val="00800DD7"/>
    <w:rsid w:val="00801817"/>
    <w:rsid w:val="00803321"/>
    <w:rsid w:val="00803997"/>
    <w:rsid w:val="00804B67"/>
    <w:rsid w:val="008059E7"/>
    <w:rsid w:val="00805CB3"/>
    <w:rsid w:val="00806889"/>
    <w:rsid w:val="00807AC2"/>
    <w:rsid w:val="00810C3F"/>
    <w:rsid w:val="008113C1"/>
    <w:rsid w:val="00812101"/>
    <w:rsid w:val="00812620"/>
    <w:rsid w:val="00813650"/>
    <w:rsid w:val="00815538"/>
    <w:rsid w:val="00815AAD"/>
    <w:rsid w:val="00816C69"/>
    <w:rsid w:val="00820AA4"/>
    <w:rsid w:val="00821038"/>
    <w:rsid w:val="00821677"/>
    <w:rsid w:val="008226B1"/>
    <w:rsid w:val="00822871"/>
    <w:rsid w:val="00822FF0"/>
    <w:rsid w:val="00823B13"/>
    <w:rsid w:val="00825344"/>
    <w:rsid w:val="00825781"/>
    <w:rsid w:val="008261ED"/>
    <w:rsid w:val="008302AE"/>
    <w:rsid w:val="00831386"/>
    <w:rsid w:val="008330E9"/>
    <w:rsid w:val="00833192"/>
    <w:rsid w:val="008351E4"/>
    <w:rsid w:val="00835702"/>
    <w:rsid w:val="0083629D"/>
    <w:rsid w:val="00840B7B"/>
    <w:rsid w:val="008423B3"/>
    <w:rsid w:val="00842908"/>
    <w:rsid w:val="00845453"/>
    <w:rsid w:val="00845708"/>
    <w:rsid w:val="00845CC2"/>
    <w:rsid w:val="00846BA0"/>
    <w:rsid w:val="0085021C"/>
    <w:rsid w:val="00851863"/>
    <w:rsid w:val="00851B68"/>
    <w:rsid w:val="0085370F"/>
    <w:rsid w:val="00853D6E"/>
    <w:rsid w:val="008550D9"/>
    <w:rsid w:val="00856387"/>
    <w:rsid w:val="00856D8D"/>
    <w:rsid w:val="00857DD4"/>
    <w:rsid w:val="00860F4D"/>
    <w:rsid w:val="008620B2"/>
    <w:rsid w:val="008634B7"/>
    <w:rsid w:val="00863766"/>
    <w:rsid w:val="00865B55"/>
    <w:rsid w:val="0086671E"/>
    <w:rsid w:val="00866BF5"/>
    <w:rsid w:val="00873DA0"/>
    <w:rsid w:val="00874D27"/>
    <w:rsid w:val="0087558F"/>
    <w:rsid w:val="00876405"/>
    <w:rsid w:val="00876D63"/>
    <w:rsid w:val="00877787"/>
    <w:rsid w:val="00883274"/>
    <w:rsid w:val="008835F8"/>
    <w:rsid w:val="00884304"/>
    <w:rsid w:val="0088507B"/>
    <w:rsid w:val="0088579A"/>
    <w:rsid w:val="00886E6F"/>
    <w:rsid w:val="0088772C"/>
    <w:rsid w:val="0089120A"/>
    <w:rsid w:val="00891D04"/>
    <w:rsid w:val="00891D13"/>
    <w:rsid w:val="00893E0F"/>
    <w:rsid w:val="00893E9A"/>
    <w:rsid w:val="008948E0"/>
    <w:rsid w:val="00895C03"/>
    <w:rsid w:val="0089735F"/>
    <w:rsid w:val="008977BC"/>
    <w:rsid w:val="008A03B7"/>
    <w:rsid w:val="008A0B04"/>
    <w:rsid w:val="008A0CF5"/>
    <w:rsid w:val="008A30EE"/>
    <w:rsid w:val="008A3B89"/>
    <w:rsid w:val="008A52D9"/>
    <w:rsid w:val="008A61AB"/>
    <w:rsid w:val="008A620C"/>
    <w:rsid w:val="008A726E"/>
    <w:rsid w:val="008A7681"/>
    <w:rsid w:val="008B0C19"/>
    <w:rsid w:val="008B1379"/>
    <w:rsid w:val="008B13D1"/>
    <w:rsid w:val="008B18E7"/>
    <w:rsid w:val="008B28E1"/>
    <w:rsid w:val="008B3999"/>
    <w:rsid w:val="008B5CD6"/>
    <w:rsid w:val="008B695D"/>
    <w:rsid w:val="008C16A5"/>
    <w:rsid w:val="008C3D56"/>
    <w:rsid w:val="008C6B63"/>
    <w:rsid w:val="008C772B"/>
    <w:rsid w:val="008D0A3E"/>
    <w:rsid w:val="008D1D96"/>
    <w:rsid w:val="008D23A9"/>
    <w:rsid w:val="008D2A0E"/>
    <w:rsid w:val="008D494F"/>
    <w:rsid w:val="008D4CD3"/>
    <w:rsid w:val="008D5A1E"/>
    <w:rsid w:val="008D74B2"/>
    <w:rsid w:val="008D795B"/>
    <w:rsid w:val="008E1FC4"/>
    <w:rsid w:val="008E27AD"/>
    <w:rsid w:val="008E3058"/>
    <w:rsid w:val="008E3D8A"/>
    <w:rsid w:val="008E3D9D"/>
    <w:rsid w:val="008E55B9"/>
    <w:rsid w:val="008E6A94"/>
    <w:rsid w:val="008E721A"/>
    <w:rsid w:val="008E7772"/>
    <w:rsid w:val="008E7F52"/>
    <w:rsid w:val="008F398A"/>
    <w:rsid w:val="008F3C11"/>
    <w:rsid w:val="008F4098"/>
    <w:rsid w:val="008F6FE0"/>
    <w:rsid w:val="00900B06"/>
    <w:rsid w:val="009037CD"/>
    <w:rsid w:val="00910B8C"/>
    <w:rsid w:val="00910E36"/>
    <w:rsid w:val="00912236"/>
    <w:rsid w:val="00915632"/>
    <w:rsid w:val="00915745"/>
    <w:rsid w:val="009209EE"/>
    <w:rsid w:val="00921261"/>
    <w:rsid w:val="009212FE"/>
    <w:rsid w:val="00923C7E"/>
    <w:rsid w:val="009253C9"/>
    <w:rsid w:val="00927705"/>
    <w:rsid w:val="00931B2F"/>
    <w:rsid w:val="00931BBB"/>
    <w:rsid w:val="00931E36"/>
    <w:rsid w:val="009323F7"/>
    <w:rsid w:val="00932759"/>
    <w:rsid w:val="00933A53"/>
    <w:rsid w:val="00935BE6"/>
    <w:rsid w:val="0093676C"/>
    <w:rsid w:val="009369CB"/>
    <w:rsid w:val="00936FFA"/>
    <w:rsid w:val="0093738F"/>
    <w:rsid w:val="00937BF2"/>
    <w:rsid w:val="00940884"/>
    <w:rsid w:val="00942C25"/>
    <w:rsid w:val="0094585B"/>
    <w:rsid w:val="00945B11"/>
    <w:rsid w:val="00945E62"/>
    <w:rsid w:val="009460F4"/>
    <w:rsid w:val="009463A1"/>
    <w:rsid w:val="009471D4"/>
    <w:rsid w:val="0094740D"/>
    <w:rsid w:val="00951246"/>
    <w:rsid w:val="00952A1E"/>
    <w:rsid w:val="00953AF1"/>
    <w:rsid w:val="00953D5F"/>
    <w:rsid w:val="00953DB2"/>
    <w:rsid w:val="009547D7"/>
    <w:rsid w:val="0095498B"/>
    <w:rsid w:val="009552E2"/>
    <w:rsid w:val="00955590"/>
    <w:rsid w:val="0095598B"/>
    <w:rsid w:val="00955DEE"/>
    <w:rsid w:val="00955E34"/>
    <w:rsid w:val="00955EF7"/>
    <w:rsid w:val="00961BD5"/>
    <w:rsid w:val="009627CD"/>
    <w:rsid w:val="00963791"/>
    <w:rsid w:val="00964179"/>
    <w:rsid w:val="0096467E"/>
    <w:rsid w:val="00965098"/>
    <w:rsid w:val="0096630A"/>
    <w:rsid w:val="00971081"/>
    <w:rsid w:val="00971AD6"/>
    <w:rsid w:val="00972B46"/>
    <w:rsid w:val="00974AC6"/>
    <w:rsid w:val="00975B86"/>
    <w:rsid w:val="00975F85"/>
    <w:rsid w:val="009771CF"/>
    <w:rsid w:val="0097734F"/>
    <w:rsid w:val="00977E26"/>
    <w:rsid w:val="0098148C"/>
    <w:rsid w:val="00984055"/>
    <w:rsid w:val="00987677"/>
    <w:rsid w:val="0099172E"/>
    <w:rsid w:val="00991B5C"/>
    <w:rsid w:val="00992566"/>
    <w:rsid w:val="0099303A"/>
    <w:rsid w:val="0099327F"/>
    <w:rsid w:val="00993708"/>
    <w:rsid w:val="00994406"/>
    <w:rsid w:val="00996ABF"/>
    <w:rsid w:val="0099713C"/>
    <w:rsid w:val="009971A1"/>
    <w:rsid w:val="009A1D8F"/>
    <w:rsid w:val="009A60A5"/>
    <w:rsid w:val="009A78B0"/>
    <w:rsid w:val="009B1348"/>
    <w:rsid w:val="009B1C4E"/>
    <w:rsid w:val="009B3A0D"/>
    <w:rsid w:val="009B4707"/>
    <w:rsid w:val="009B57C2"/>
    <w:rsid w:val="009B61BA"/>
    <w:rsid w:val="009B6E0C"/>
    <w:rsid w:val="009B75CE"/>
    <w:rsid w:val="009B75D7"/>
    <w:rsid w:val="009C0031"/>
    <w:rsid w:val="009C1A53"/>
    <w:rsid w:val="009C298D"/>
    <w:rsid w:val="009C30FA"/>
    <w:rsid w:val="009C318F"/>
    <w:rsid w:val="009C4AD6"/>
    <w:rsid w:val="009C61E3"/>
    <w:rsid w:val="009C6948"/>
    <w:rsid w:val="009C7E5B"/>
    <w:rsid w:val="009D01D2"/>
    <w:rsid w:val="009D039D"/>
    <w:rsid w:val="009D1FD4"/>
    <w:rsid w:val="009D4E08"/>
    <w:rsid w:val="009D5D4C"/>
    <w:rsid w:val="009D60B7"/>
    <w:rsid w:val="009D78AB"/>
    <w:rsid w:val="009E4EDD"/>
    <w:rsid w:val="009F0B29"/>
    <w:rsid w:val="009F0D1E"/>
    <w:rsid w:val="009F14A0"/>
    <w:rsid w:val="009F6654"/>
    <w:rsid w:val="00A002BB"/>
    <w:rsid w:val="00A00A94"/>
    <w:rsid w:val="00A00C9E"/>
    <w:rsid w:val="00A0133D"/>
    <w:rsid w:val="00A01721"/>
    <w:rsid w:val="00A029E3"/>
    <w:rsid w:val="00A02EAA"/>
    <w:rsid w:val="00A04227"/>
    <w:rsid w:val="00A04361"/>
    <w:rsid w:val="00A0482B"/>
    <w:rsid w:val="00A04CD3"/>
    <w:rsid w:val="00A05300"/>
    <w:rsid w:val="00A05385"/>
    <w:rsid w:val="00A05796"/>
    <w:rsid w:val="00A06DEF"/>
    <w:rsid w:val="00A06FCC"/>
    <w:rsid w:val="00A11338"/>
    <w:rsid w:val="00A1239A"/>
    <w:rsid w:val="00A12D0D"/>
    <w:rsid w:val="00A1356E"/>
    <w:rsid w:val="00A14DC2"/>
    <w:rsid w:val="00A14ED5"/>
    <w:rsid w:val="00A1502B"/>
    <w:rsid w:val="00A151AA"/>
    <w:rsid w:val="00A15E4E"/>
    <w:rsid w:val="00A17BB1"/>
    <w:rsid w:val="00A214F2"/>
    <w:rsid w:val="00A216DB"/>
    <w:rsid w:val="00A21A7E"/>
    <w:rsid w:val="00A21AAE"/>
    <w:rsid w:val="00A21B20"/>
    <w:rsid w:val="00A224D1"/>
    <w:rsid w:val="00A23137"/>
    <w:rsid w:val="00A250A9"/>
    <w:rsid w:val="00A25D12"/>
    <w:rsid w:val="00A300DF"/>
    <w:rsid w:val="00A32C36"/>
    <w:rsid w:val="00A3338F"/>
    <w:rsid w:val="00A34066"/>
    <w:rsid w:val="00A34DE6"/>
    <w:rsid w:val="00A34F57"/>
    <w:rsid w:val="00A353F9"/>
    <w:rsid w:val="00A35671"/>
    <w:rsid w:val="00A35FAB"/>
    <w:rsid w:val="00A3663B"/>
    <w:rsid w:val="00A41586"/>
    <w:rsid w:val="00A41817"/>
    <w:rsid w:val="00A427C7"/>
    <w:rsid w:val="00A44C80"/>
    <w:rsid w:val="00A45C56"/>
    <w:rsid w:val="00A470DF"/>
    <w:rsid w:val="00A477CB"/>
    <w:rsid w:val="00A47EDF"/>
    <w:rsid w:val="00A51A2D"/>
    <w:rsid w:val="00A51E94"/>
    <w:rsid w:val="00A52B00"/>
    <w:rsid w:val="00A536A5"/>
    <w:rsid w:val="00A571D5"/>
    <w:rsid w:val="00A57C92"/>
    <w:rsid w:val="00A60C22"/>
    <w:rsid w:val="00A61440"/>
    <w:rsid w:val="00A6263D"/>
    <w:rsid w:val="00A643AE"/>
    <w:rsid w:val="00A6543E"/>
    <w:rsid w:val="00A65C0F"/>
    <w:rsid w:val="00A67C96"/>
    <w:rsid w:val="00A70F54"/>
    <w:rsid w:val="00A728AD"/>
    <w:rsid w:val="00A738B3"/>
    <w:rsid w:val="00A74077"/>
    <w:rsid w:val="00A75045"/>
    <w:rsid w:val="00A751E0"/>
    <w:rsid w:val="00A76577"/>
    <w:rsid w:val="00A76B59"/>
    <w:rsid w:val="00A77BBA"/>
    <w:rsid w:val="00A77D46"/>
    <w:rsid w:val="00A77DD5"/>
    <w:rsid w:val="00A80722"/>
    <w:rsid w:val="00A8280E"/>
    <w:rsid w:val="00A83C32"/>
    <w:rsid w:val="00A86A6B"/>
    <w:rsid w:val="00A86C16"/>
    <w:rsid w:val="00A8724C"/>
    <w:rsid w:val="00A9025E"/>
    <w:rsid w:val="00A9134F"/>
    <w:rsid w:val="00A9195A"/>
    <w:rsid w:val="00A91975"/>
    <w:rsid w:val="00A91CF5"/>
    <w:rsid w:val="00A922F5"/>
    <w:rsid w:val="00A9412E"/>
    <w:rsid w:val="00A961EC"/>
    <w:rsid w:val="00A96FAC"/>
    <w:rsid w:val="00A97E33"/>
    <w:rsid w:val="00AA04D0"/>
    <w:rsid w:val="00AA0607"/>
    <w:rsid w:val="00AA2F07"/>
    <w:rsid w:val="00AA3203"/>
    <w:rsid w:val="00AA442C"/>
    <w:rsid w:val="00AA444E"/>
    <w:rsid w:val="00AA637B"/>
    <w:rsid w:val="00AA7A69"/>
    <w:rsid w:val="00AB0471"/>
    <w:rsid w:val="00AB1F55"/>
    <w:rsid w:val="00AB4362"/>
    <w:rsid w:val="00AB4A27"/>
    <w:rsid w:val="00AB59CA"/>
    <w:rsid w:val="00AC09A6"/>
    <w:rsid w:val="00AC0C2B"/>
    <w:rsid w:val="00AC152D"/>
    <w:rsid w:val="00AC156D"/>
    <w:rsid w:val="00AC1CBE"/>
    <w:rsid w:val="00AC3152"/>
    <w:rsid w:val="00AC3D4A"/>
    <w:rsid w:val="00AC57D8"/>
    <w:rsid w:val="00AC691E"/>
    <w:rsid w:val="00AC74F2"/>
    <w:rsid w:val="00AD2598"/>
    <w:rsid w:val="00AD295E"/>
    <w:rsid w:val="00AD3EFD"/>
    <w:rsid w:val="00AD4097"/>
    <w:rsid w:val="00AD4574"/>
    <w:rsid w:val="00AD5824"/>
    <w:rsid w:val="00AD667A"/>
    <w:rsid w:val="00AD66D9"/>
    <w:rsid w:val="00AD73C0"/>
    <w:rsid w:val="00AE02B2"/>
    <w:rsid w:val="00AE15A3"/>
    <w:rsid w:val="00AE2151"/>
    <w:rsid w:val="00AE2987"/>
    <w:rsid w:val="00AE464A"/>
    <w:rsid w:val="00AE6206"/>
    <w:rsid w:val="00AE7CD5"/>
    <w:rsid w:val="00AF0397"/>
    <w:rsid w:val="00AF110E"/>
    <w:rsid w:val="00AF3334"/>
    <w:rsid w:val="00AF4109"/>
    <w:rsid w:val="00AF4464"/>
    <w:rsid w:val="00AF5AF6"/>
    <w:rsid w:val="00AF5D86"/>
    <w:rsid w:val="00B005B7"/>
    <w:rsid w:val="00B00D85"/>
    <w:rsid w:val="00B016F5"/>
    <w:rsid w:val="00B0221F"/>
    <w:rsid w:val="00B02895"/>
    <w:rsid w:val="00B0307F"/>
    <w:rsid w:val="00B039B0"/>
    <w:rsid w:val="00B046A1"/>
    <w:rsid w:val="00B05CAC"/>
    <w:rsid w:val="00B069BF"/>
    <w:rsid w:val="00B07CCB"/>
    <w:rsid w:val="00B10EA6"/>
    <w:rsid w:val="00B11BED"/>
    <w:rsid w:val="00B14311"/>
    <w:rsid w:val="00B1494D"/>
    <w:rsid w:val="00B14E29"/>
    <w:rsid w:val="00B15411"/>
    <w:rsid w:val="00B163B4"/>
    <w:rsid w:val="00B16D55"/>
    <w:rsid w:val="00B20393"/>
    <w:rsid w:val="00B20421"/>
    <w:rsid w:val="00B20BE2"/>
    <w:rsid w:val="00B21E17"/>
    <w:rsid w:val="00B23EBC"/>
    <w:rsid w:val="00B2592D"/>
    <w:rsid w:val="00B274BF"/>
    <w:rsid w:val="00B27EFC"/>
    <w:rsid w:val="00B3231B"/>
    <w:rsid w:val="00B32626"/>
    <w:rsid w:val="00B33C70"/>
    <w:rsid w:val="00B340D9"/>
    <w:rsid w:val="00B349B6"/>
    <w:rsid w:val="00B34A40"/>
    <w:rsid w:val="00B34AE3"/>
    <w:rsid w:val="00B358E9"/>
    <w:rsid w:val="00B35911"/>
    <w:rsid w:val="00B369B1"/>
    <w:rsid w:val="00B37770"/>
    <w:rsid w:val="00B40B7E"/>
    <w:rsid w:val="00B4166A"/>
    <w:rsid w:val="00B419BA"/>
    <w:rsid w:val="00B43B9D"/>
    <w:rsid w:val="00B44606"/>
    <w:rsid w:val="00B469D0"/>
    <w:rsid w:val="00B47324"/>
    <w:rsid w:val="00B50530"/>
    <w:rsid w:val="00B50B24"/>
    <w:rsid w:val="00B50F09"/>
    <w:rsid w:val="00B52982"/>
    <w:rsid w:val="00B531AA"/>
    <w:rsid w:val="00B53559"/>
    <w:rsid w:val="00B54EA0"/>
    <w:rsid w:val="00B55923"/>
    <w:rsid w:val="00B600E1"/>
    <w:rsid w:val="00B6091D"/>
    <w:rsid w:val="00B62C0E"/>
    <w:rsid w:val="00B634CC"/>
    <w:rsid w:val="00B6589C"/>
    <w:rsid w:val="00B7053E"/>
    <w:rsid w:val="00B70A69"/>
    <w:rsid w:val="00B710A4"/>
    <w:rsid w:val="00B71CCA"/>
    <w:rsid w:val="00B71DCB"/>
    <w:rsid w:val="00B7224E"/>
    <w:rsid w:val="00B7261F"/>
    <w:rsid w:val="00B748CD"/>
    <w:rsid w:val="00B74BD9"/>
    <w:rsid w:val="00B7503B"/>
    <w:rsid w:val="00B753C2"/>
    <w:rsid w:val="00B764DE"/>
    <w:rsid w:val="00B80664"/>
    <w:rsid w:val="00B8134F"/>
    <w:rsid w:val="00B81A3D"/>
    <w:rsid w:val="00B822EA"/>
    <w:rsid w:val="00B82E66"/>
    <w:rsid w:val="00B83F66"/>
    <w:rsid w:val="00B84650"/>
    <w:rsid w:val="00B86316"/>
    <w:rsid w:val="00B866BC"/>
    <w:rsid w:val="00B86748"/>
    <w:rsid w:val="00B871CE"/>
    <w:rsid w:val="00B8729F"/>
    <w:rsid w:val="00B9199A"/>
    <w:rsid w:val="00B92953"/>
    <w:rsid w:val="00B94071"/>
    <w:rsid w:val="00B958F3"/>
    <w:rsid w:val="00B95AA5"/>
    <w:rsid w:val="00B965B3"/>
    <w:rsid w:val="00B97795"/>
    <w:rsid w:val="00BA05D6"/>
    <w:rsid w:val="00BA086E"/>
    <w:rsid w:val="00BA3AC9"/>
    <w:rsid w:val="00BA4E29"/>
    <w:rsid w:val="00BA5304"/>
    <w:rsid w:val="00BA6F77"/>
    <w:rsid w:val="00BB1738"/>
    <w:rsid w:val="00BB1E24"/>
    <w:rsid w:val="00BB325C"/>
    <w:rsid w:val="00BB35DE"/>
    <w:rsid w:val="00BB39C6"/>
    <w:rsid w:val="00BB3F71"/>
    <w:rsid w:val="00BB4897"/>
    <w:rsid w:val="00BB50B4"/>
    <w:rsid w:val="00BB54CF"/>
    <w:rsid w:val="00BB6034"/>
    <w:rsid w:val="00BB6133"/>
    <w:rsid w:val="00BC0AC8"/>
    <w:rsid w:val="00BC2460"/>
    <w:rsid w:val="00BC3C0C"/>
    <w:rsid w:val="00BC525E"/>
    <w:rsid w:val="00BC7970"/>
    <w:rsid w:val="00BD2B1F"/>
    <w:rsid w:val="00BD2C91"/>
    <w:rsid w:val="00BD2EFD"/>
    <w:rsid w:val="00BD31F2"/>
    <w:rsid w:val="00BD463F"/>
    <w:rsid w:val="00BD6124"/>
    <w:rsid w:val="00BE1072"/>
    <w:rsid w:val="00BE14E7"/>
    <w:rsid w:val="00BE24DA"/>
    <w:rsid w:val="00BE2D0F"/>
    <w:rsid w:val="00BE30B1"/>
    <w:rsid w:val="00BE370B"/>
    <w:rsid w:val="00BE426B"/>
    <w:rsid w:val="00BE5EF3"/>
    <w:rsid w:val="00BE6681"/>
    <w:rsid w:val="00BE72D8"/>
    <w:rsid w:val="00BF096A"/>
    <w:rsid w:val="00BF0E65"/>
    <w:rsid w:val="00BF1B23"/>
    <w:rsid w:val="00BF2573"/>
    <w:rsid w:val="00BF2CAE"/>
    <w:rsid w:val="00BF3C70"/>
    <w:rsid w:val="00BF4581"/>
    <w:rsid w:val="00BF4EE3"/>
    <w:rsid w:val="00BF6A75"/>
    <w:rsid w:val="00BF7125"/>
    <w:rsid w:val="00BF7757"/>
    <w:rsid w:val="00BF7925"/>
    <w:rsid w:val="00C0130C"/>
    <w:rsid w:val="00C01D3F"/>
    <w:rsid w:val="00C042E0"/>
    <w:rsid w:val="00C04E4F"/>
    <w:rsid w:val="00C05A0D"/>
    <w:rsid w:val="00C064A1"/>
    <w:rsid w:val="00C06E93"/>
    <w:rsid w:val="00C0755F"/>
    <w:rsid w:val="00C0785B"/>
    <w:rsid w:val="00C10B87"/>
    <w:rsid w:val="00C11375"/>
    <w:rsid w:val="00C12FDB"/>
    <w:rsid w:val="00C136AC"/>
    <w:rsid w:val="00C14040"/>
    <w:rsid w:val="00C14C58"/>
    <w:rsid w:val="00C167C9"/>
    <w:rsid w:val="00C175C9"/>
    <w:rsid w:val="00C17B7D"/>
    <w:rsid w:val="00C20142"/>
    <w:rsid w:val="00C213A2"/>
    <w:rsid w:val="00C21886"/>
    <w:rsid w:val="00C22867"/>
    <w:rsid w:val="00C233A4"/>
    <w:rsid w:val="00C241B6"/>
    <w:rsid w:val="00C2431D"/>
    <w:rsid w:val="00C24649"/>
    <w:rsid w:val="00C2660B"/>
    <w:rsid w:val="00C27CBD"/>
    <w:rsid w:val="00C27EC0"/>
    <w:rsid w:val="00C27F6D"/>
    <w:rsid w:val="00C32D9C"/>
    <w:rsid w:val="00C32E3C"/>
    <w:rsid w:val="00C33812"/>
    <w:rsid w:val="00C33E10"/>
    <w:rsid w:val="00C347DD"/>
    <w:rsid w:val="00C351D0"/>
    <w:rsid w:val="00C355AA"/>
    <w:rsid w:val="00C3746E"/>
    <w:rsid w:val="00C37C43"/>
    <w:rsid w:val="00C41D98"/>
    <w:rsid w:val="00C42201"/>
    <w:rsid w:val="00C42993"/>
    <w:rsid w:val="00C43E35"/>
    <w:rsid w:val="00C44CA2"/>
    <w:rsid w:val="00C45CCC"/>
    <w:rsid w:val="00C465A8"/>
    <w:rsid w:val="00C46884"/>
    <w:rsid w:val="00C52BBD"/>
    <w:rsid w:val="00C52F7C"/>
    <w:rsid w:val="00C535BD"/>
    <w:rsid w:val="00C53EDD"/>
    <w:rsid w:val="00C54226"/>
    <w:rsid w:val="00C564A6"/>
    <w:rsid w:val="00C567C9"/>
    <w:rsid w:val="00C6005F"/>
    <w:rsid w:val="00C60403"/>
    <w:rsid w:val="00C60FED"/>
    <w:rsid w:val="00C61C49"/>
    <w:rsid w:val="00C61DEA"/>
    <w:rsid w:val="00C63FA8"/>
    <w:rsid w:val="00C64E39"/>
    <w:rsid w:val="00C65876"/>
    <w:rsid w:val="00C66EEA"/>
    <w:rsid w:val="00C702CB"/>
    <w:rsid w:val="00C7098C"/>
    <w:rsid w:val="00C709A4"/>
    <w:rsid w:val="00C71AF7"/>
    <w:rsid w:val="00C7204C"/>
    <w:rsid w:val="00C72888"/>
    <w:rsid w:val="00C72A93"/>
    <w:rsid w:val="00C72F8F"/>
    <w:rsid w:val="00C74590"/>
    <w:rsid w:val="00C75954"/>
    <w:rsid w:val="00C801EC"/>
    <w:rsid w:val="00C82B9E"/>
    <w:rsid w:val="00C84CA9"/>
    <w:rsid w:val="00C85DFB"/>
    <w:rsid w:val="00C87212"/>
    <w:rsid w:val="00C87A4D"/>
    <w:rsid w:val="00C90266"/>
    <w:rsid w:val="00C95741"/>
    <w:rsid w:val="00C97E9B"/>
    <w:rsid w:val="00CA02BD"/>
    <w:rsid w:val="00CA0A49"/>
    <w:rsid w:val="00CA2D9F"/>
    <w:rsid w:val="00CA3119"/>
    <w:rsid w:val="00CA3B5E"/>
    <w:rsid w:val="00CA3D68"/>
    <w:rsid w:val="00CA48B2"/>
    <w:rsid w:val="00CA4C95"/>
    <w:rsid w:val="00CA6E99"/>
    <w:rsid w:val="00CA7045"/>
    <w:rsid w:val="00CB3342"/>
    <w:rsid w:val="00CB41D2"/>
    <w:rsid w:val="00CB6BF7"/>
    <w:rsid w:val="00CB6CB7"/>
    <w:rsid w:val="00CB7571"/>
    <w:rsid w:val="00CB760F"/>
    <w:rsid w:val="00CC160A"/>
    <w:rsid w:val="00CC2FB6"/>
    <w:rsid w:val="00CC58E6"/>
    <w:rsid w:val="00CC5B7A"/>
    <w:rsid w:val="00CC6A62"/>
    <w:rsid w:val="00CC6FCA"/>
    <w:rsid w:val="00CD1D50"/>
    <w:rsid w:val="00CD41C9"/>
    <w:rsid w:val="00CD43B5"/>
    <w:rsid w:val="00CD460D"/>
    <w:rsid w:val="00CD554A"/>
    <w:rsid w:val="00CD5F59"/>
    <w:rsid w:val="00CD65CD"/>
    <w:rsid w:val="00CD730F"/>
    <w:rsid w:val="00CE0ED3"/>
    <w:rsid w:val="00CE22D6"/>
    <w:rsid w:val="00CE3047"/>
    <w:rsid w:val="00CE5CC5"/>
    <w:rsid w:val="00CE6E4D"/>
    <w:rsid w:val="00CE7079"/>
    <w:rsid w:val="00CF0015"/>
    <w:rsid w:val="00CF1752"/>
    <w:rsid w:val="00CF261C"/>
    <w:rsid w:val="00CF2E5A"/>
    <w:rsid w:val="00CF3EF9"/>
    <w:rsid w:val="00CF4730"/>
    <w:rsid w:val="00CF6CBC"/>
    <w:rsid w:val="00CF7D46"/>
    <w:rsid w:val="00D0102A"/>
    <w:rsid w:val="00D017F1"/>
    <w:rsid w:val="00D020BC"/>
    <w:rsid w:val="00D04A7A"/>
    <w:rsid w:val="00D05199"/>
    <w:rsid w:val="00D0534D"/>
    <w:rsid w:val="00D05E5B"/>
    <w:rsid w:val="00D07033"/>
    <w:rsid w:val="00D0766F"/>
    <w:rsid w:val="00D110E9"/>
    <w:rsid w:val="00D1228E"/>
    <w:rsid w:val="00D1382C"/>
    <w:rsid w:val="00D13BC7"/>
    <w:rsid w:val="00D15F34"/>
    <w:rsid w:val="00D16C95"/>
    <w:rsid w:val="00D1770E"/>
    <w:rsid w:val="00D17B99"/>
    <w:rsid w:val="00D17DD7"/>
    <w:rsid w:val="00D20D95"/>
    <w:rsid w:val="00D211A3"/>
    <w:rsid w:val="00D25E43"/>
    <w:rsid w:val="00D26546"/>
    <w:rsid w:val="00D3016B"/>
    <w:rsid w:val="00D31663"/>
    <w:rsid w:val="00D31BD4"/>
    <w:rsid w:val="00D31D8A"/>
    <w:rsid w:val="00D3315C"/>
    <w:rsid w:val="00D3346D"/>
    <w:rsid w:val="00D35B1C"/>
    <w:rsid w:val="00D36D20"/>
    <w:rsid w:val="00D41AC1"/>
    <w:rsid w:val="00D42B68"/>
    <w:rsid w:val="00D43BA5"/>
    <w:rsid w:val="00D4463A"/>
    <w:rsid w:val="00D45D35"/>
    <w:rsid w:val="00D47428"/>
    <w:rsid w:val="00D5303E"/>
    <w:rsid w:val="00D5650E"/>
    <w:rsid w:val="00D57E58"/>
    <w:rsid w:val="00D63A20"/>
    <w:rsid w:val="00D640B8"/>
    <w:rsid w:val="00D6430A"/>
    <w:rsid w:val="00D64A23"/>
    <w:rsid w:val="00D653B0"/>
    <w:rsid w:val="00D66354"/>
    <w:rsid w:val="00D672D6"/>
    <w:rsid w:val="00D70990"/>
    <w:rsid w:val="00D731C5"/>
    <w:rsid w:val="00D7360F"/>
    <w:rsid w:val="00D74E09"/>
    <w:rsid w:val="00D76301"/>
    <w:rsid w:val="00D76A65"/>
    <w:rsid w:val="00D76BC0"/>
    <w:rsid w:val="00D77CBE"/>
    <w:rsid w:val="00D82EAC"/>
    <w:rsid w:val="00D85A01"/>
    <w:rsid w:val="00D8627F"/>
    <w:rsid w:val="00D86D18"/>
    <w:rsid w:val="00D87022"/>
    <w:rsid w:val="00D9065A"/>
    <w:rsid w:val="00D90746"/>
    <w:rsid w:val="00D917FF"/>
    <w:rsid w:val="00D929B0"/>
    <w:rsid w:val="00D947A0"/>
    <w:rsid w:val="00D9546A"/>
    <w:rsid w:val="00D955CC"/>
    <w:rsid w:val="00D96315"/>
    <w:rsid w:val="00DA1882"/>
    <w:rsid w:val="00DA378D"/>
    <w:rsid w:val="00DA3EA2"/>
    <w:rsid w:val="00DA4DBC"/>
    <w:rsid w:val="00DA5321"/>
    <w:rsid w:val="00DA5D71"/>
    <w:rsid w:val="00DA6C16"/>
    <w:rsid w:val="00DA6ED2"/>
    <w:rsid w:val="00DA7788"/>
    <w:rsid w:val="00DA79DF"/>
    <w:rsid w:val="00DB1149"/>
    <w:rsid w:val="00DB1745"/>
    <w:rsid w:val="00DB1F70"/>
    <w:rsid w:val="00DB24B8"/>
    <w:rsid w:val="00DB2664"/>
    <w:rsid w:val="00DC0382"/>
    <w:rsid w:val="00DC05E4"/>
    <w:rsid w:val="00DC0C98"/>
    <w:rsid w:val="00DC1D42"/>
    <w:rsid w:val="00DC2DA6"/>
    <w:rsid w:val="00DC4F9F"/>
    <w:rsid w:val="00DC5057"/>
    <w:rsid w:val="00DC6E05"/>
    <w:rsid w:val="00DD03FA"/>
    <w:rsid w:val="00DD090E"/>
    <w:rsid w:val="00DD0991"/>
    <w:rsid w:val="00DD0C7B"/>
    <w:rsid w:val="00DD119F"/>
    <w:rsid w:val="00DD300B"/>
    <w:rsid w:val="00DD4B4A"/>
    <w:rsid w:val="00DD6574"/>
    <w:rsid w:val="00DD6EB7"/>
    <w:rsid w:val="00DD7886"/>
    <w:rsid w:val="00DD7FFB"/>
    <w:rsid w:val="00DE231B"/>
    <w:rsid w:val="00DE3009"/>
    <w:rsid w:val="00DE4FDF"/>
    <w:rsid w:val="00DE5E79"/>
    <w:rsid w:val="00DE6357"/>
    <w:rsid w:val="00DF014C"/>
    <w:rsid w:val="00DF1122"/>
    <w:rsid w:val="00DF26E9"/>
    <w:rsid w:val="00DF32C7"/>
    <w:rsid w:val="00DF4A85"/>
    <w:rsid w:val="00DF6675"/>
    <w:rsid w:val="00DF6D02"/>
    <w:rsid w:val="00DF705D"/>
    <w:rsid w:val="00DF78C1"/>
    <w:rsid w:val="00E006E8"/>
    <w:rsid w:val="00E025EE"/>
    <w:rsid w:val="00E04615"/>
    <w:rsid w:val="00E067A1"/>
    <w:rsid w:val="00E06AD1"/>
    <w:rsid w:val="00E06C5E"/>
    <w:rsid w:val="00E07688"/>
    <w:rsid w:val="00E104DD"/>
    <w:rsid w:val="00E105DA"/>
    <w:rsid w:val="00E10ECB"/>
    <w:rsid w:val="00E11BBA"/>
    <w:rsid w:val="00E13C88"/>
    <w:rsid w:val="00E150BF"/>
    <w:rsid w:val="00E15587"/>
    <w:rsid w:val="00E2219D"/>
    <w:rsid w:val="00E2313A"/>
    <w:rsid w:val="00E232BD"/>
    <w:rsid w:val="00E24E86"/>
    <w:rsid w:val="00E257C2"/>
    <w:rsid w:val="00E27310"/>
    <w:rsid w:val="00E301E7"/>
    <w:rsid w:val="00E320B9"/>
    <w:rsid w:val="00E3216C"/>
    <w:rsid w:val="00E32E3E"/>
    <w:rsid w:val="00E33EF6"/>
    <w:rsid w:val="00E35F3C"/>
    <w:rsid w:val="00E4015E"/>
    <w:rsid w:val="00E415DE"/>
    <w:rsid w:val="00E42506"/>
    <w:rsid w:val="00E43895"/>
    <w:rsid w:val="00E44AA4"/>
    <w:rsid w:val="00E451CF"/>
    <w:rsid w:val="00E47989"/>
    <w:rsid w:val="00E47D39"/>
    <w:rsid w:val="00E504D9"/>
    <w:rsid w:val="00E50BE4"/>
    <w:rsid w:val="00E516B0"/>
    <w:rsid w:val="00E51E5F"/>
    <w:rsid w:val="00E51F1E"/>
    <w:rsid w:val="00E56F20"/>
    <w:rsid w:val="00E5759B"/>
    <w:rsid w:val="00E6341D"/>
    <w:rsid w:val="00E63CD2"/>
    <w:rsid w:val="00E654B8"/>
    <w:rsid w:val="00E662D4"/>
    <w:rsid w:val="00E66D7B"/>
    <w:rsid w:val="00E66F19"/>
    <w:rsid w:val="00E67A18"/>
    <w:rsid w:val="00E70D6E"/>
    <w:rsid w:val="00E716E5"/>
    <w:rsid w:val="00E7229E"/>
    <w:rsid w:val="00E7230D"/>
    <w:rsid w:val="00E72351"/>
    <w:rsid w:val="00E729E6"/>
    <w:rsid w:val="00E74379"/>
    <w:rsid w:val="00E74CC8"/>
    <w:rsid w:val="00E77631"/>
    <w:rsid w:val="00E80001"/>
    <w:rsid w:val="00E8102E"/>
    <w:rsid w:val="00E813A9"/>
    <w:rsid w:val="00E81BC5"/>
    <w:rsid w:val="00E83687"/>
    <w:rsid w:val="00E960CE"/>
    <w:rsid w:val="00E968F6"/>
    <w:rsid w:val="00E96EA3"/>
    <w:rsid w:val="00E97A84"/>
    <w:rsid w:val="00E97D87"/>
    <w:rsid w:val="00EA05C1"/>
    <w:rsid w:val="00EA22C1"/>
    <w:rsid w:val="00EA23A2"/>
    <w:rsid w:val="00EA2577"/>
    <w:rsid w:val="00EA3CEC"/>
    <w:rsid w:val="00EA4F42"/>
    <w:rsid w:val="00EA5DA5"/>
    <w:rsid w:val="00EA681B"/>
    <w:rsid w:val="00EA6DA8"/>
    <w:rsid w:val="00EB06BC"/>
    <w:rsid w:val="00EB1C2F"/>
    <w:rsid w:val="00EB2E51"/>
    <w:rsid w:val="00EB32A1"/>
    <w:rsid w:val="00EB36D4"/>
    <w:rsid w:val="00EB3BFE"/>
    <w:rsid w:val="00EB48FA"/>
    <w:rsid w:val="00EB67D7"/>
    <w:rsid w:val="00EB69AD"/>
    <w:rsid w:val="00EC0E89"/>
    <w:rsid w:val="00EC412E"/>
    <w:rsid w:val="00EC5A7D"/>
    <w:rsid w:val="00EC6763"/>
    <w:rsid w:val="00ED1675"/>
    <w:rsid w:val="00ED2FCF"/>
    <w:rsid w:val="00ED3FB4"/>
    <w:rsid w:val="00ED49A7"/>
    <w:rsid w:val="00ED4EEF"/>
    <w:rsid w:val="00ED5BD7"/>
    <w:rsid w:val="00ED5E77"/>
    <w:rsid w:val="00ED5F80"/>
    <w:rsid w:val="00ED797B"/>
    <w:rsid w:val="00ED7DB1"/>
    <w:rsid w:val="00EE0762"/>
    <w:rsid w:val="00EE2160"/>
    <w:rsid w:val="00EE2554"/>
    <w:rsid w:val="00EE2AC2"/>
    <w:rsid w:val="00EE393A"/>
    <w:rsid w:val="00EE39D9"/>
    <w:rsid w:val="00EE4E4F"/>
    <w:rsid w:val="00EE5608"/>
    <w:rsid w:val="00EE68FD"/>
    <w:rsid w:val="00EE6987"/>
    <w:rsid w:val="00EE7449"/>
    <w:rsid w:val="00EF0133"/>
    <w:rsid w:val="00EF0766"/>
    <w:rsid w:val="00EF33A1"/>
    <w:rsid w:val="00EF354C"/>
    <w:rsid w:val="00EF636E"/>
    <w:rsid w:val="00EF6B59"/>
    <w:rsid w:val="00EF77BE"/>
    <w:rsid w:val="00F00BA8"/>
    <w:rsid w:val="00F0147A"/>
    <w:rsid w:val="00F031C1"/>
    <w:rsid w:val="00F05405"/>
    <w:rsid w:val="00F0551E"/>
    <w:rsid w:val="00F06F53"/>
    <w:rsid w:val="00F06F9D"/>
    <w:rsid w:val="00F07DD2"/>
    <w:rsid w:val="00F101DA"/>
    <w:rsid w:val="00F10B06"/>
    <w:rsid w:val="00F11990"/>
    <w:rsid w:val="00F1359B"/>
    <w:rsid w:val="00F13B82"/>
    <w:rsid w:val="00F15114"/>
    <w:rsid w:val="00F15256"/>
    <w:rsid w:val="00F15DE7"/>
    <w:rsid w:val="00F20D08"/>
    <w:rsid w:val="00F20D33"/>
    <w:rsid w:val="00F21AA4"/>
    <w:rsid w:val="00F22D96"/>
    <w:rsid w:val="00F25104"/>
    <w:rsid w:val="00F252F2"/>
    <w:rsid w:val="00F25A9E"/>
    <w:rsid w:val="00F26645"/>
    <w:rsid w:val="00F274FE"/>
    <w:rsid w:val="00F3172B"/>
    <w:rsid w:val="00F31898"/>
    <w:rsid w:val="00F32060"/>
    <w:rsid w:val="00F32173"/>
    <w:rsid w:val="00F323AF"/>
    <w:rsid w:val="00F32714"/>
    <w:rsid w:val="00F3334F"/>
    <w:rsid w:val="00F3343D"/>
    <w:rsid w:val="00F34D93"/>
    <w:rsid w:val="00F36DC7"/>
    <w:rsid w:val="00F40F2A"/>
    <w:rsid w:val="00F43975"/>
    <w:rsid w:val="00F457BD"/>
    <w:rsid w:val="00F45C11"/>
    <w:rsid w:val="00F47348"/>
    <w:rsid w:val="00F47A87"/>
    <w:rsid w:val="00F50633"/>
    <w:rsid w:val="00F5344C"/>
    <w:rsid w:val="00F5395D"/>
    <w:rsid w:val="00F53DC1"/>
    <w:rsid w:val="00F567B6"/>
    <w:rsid w:val="00F56CD3"/>
    <w:rsid w:val="00F57076"/>
    <w:rsid w:val="00F57F21"/>
    <w:rsid w:val="00F60C64"/>
    <w:rsid w:val="00F60F15"/>
    <w:rsid w:val="00F60FF2"/>
    <w:rsid w:val="00F6186A"/>
    <w:rsid w:val="00F6319E"/>
    <w:rsid w:val="00F64558"/>
    <w:rsid w:val="00F6674F"/>
    <w:rsid w:val="00F66816"/>
    <w:rsid w:val="00F66F0B"/>
    <w:rsid w:val="00F71872"/>
    <w:rsid w:val="00F72958"/>
    <w:rsid w:val="00F72CED"/>
    <w:rsid w:val="00F7420D"/>
    <w:rsid w:val="00F759B7"/>
    <w:rsid w:val="00F7646E"/>
    <w:rsid w:val="00F773B8"/>
    <w:rsid w:val="00F80EE2"/>
    <w:rsid w:val="00F81A06"/>
    <w:rsid w:val="00F81A81"/>
    <w:rsid w:val="00F85F6D"/>
    <w:rsid w:val="00F86611"/>
    <w:rsid w:val="00F917F3"/>
    <w:rsid w:val="00F91D85"/>
    <w:rsid w:val="00F92020"/>
    <w:rsid w:val="00F932E8"/>
    <w:rsid w:val="00F9443B"/>
    <w:rsid w:val="00F962A6"/>
    <w:rsid w:val="00F96E47"/>
    <w:rsid w:val="00F97585"/>
    <w:rsid w:val="00FA07C9"/>
    <w:rsid w:val="00FA3431"/>
    <w:rsid w:val="00FA4219"/>
    <w:rsid w:val="00FA4FDE"/>
    <w:rsid w:val="00FA5398"/>
    <w:rsid w:val="00FA6D16"/>
    <w:rsid w:val="00FA77AB"/>
    <w:rsid w:val="00FB0042"/>
    <w:rsid w:val="00FB0937"/>
    <w:rsid w:val="00FB12B1"/>
    <w:rsid w:val="00FB1572"/>
    <w:rsid w:val="00FB25EA"/>
    <w:rsid w:val="00FB341F"/>
    <w:rsid w:val="00FB3716"/>
    <w:rsid w:val="00FB47C1"/>
    <w:rsid w:val="00FB60E5"/>
    <w:rsid w:val="00FB677B"/>
    <w:rsid w:val="00FC1CE2"/>
    <w:rsid w:val="00FC273F"/>
    <w:rsid w:val="00FC3835"/>
    <w:rsid w:val="00FC38CD"/>
    <w:rsid w:val="00FC3A1C"/>
    <w:rsid w:val="00FC59AD"/>
    <w:rsid w:val="00FC7032"/>
    <w:rsid w:val="00FC7CC7"/>
    <w:rsid w:val="00FC7F57"/>
    <w:rsid w:val="00FD153B"/>
    <w:rsid w:val="00FD2042"/>
    <w:rsid w:val="00FD2D00"/>
    <w:rsid w:val="00FD41D0"/>
    <w:rsid w:val="00FD57B3"/>
    <w:rsid w:val="00FD6309"/>
    <w:rsid w:val="00FD68ED"/>
    <w:rsid w:val="00FE0917"/>
    <w:rsid w:val="00FE17A9"/>
    <w:rsid w:val="00FE1F31"/>
    <w:rsid w:val="00FE1F6E"/>
    <w:rsid w:val="00FE269E"/>
    <w:rsid w:val="00FE36DF"/>
    <w:rsid w:val="00FE407A"/>
    <w:rsid w:val="00FE46EB"/>
    <w:rsid w:val="00FE4930"/>
    <w:rsid w:val="00FE7C7D"/>
    <w:rsid w:val="00FF0DF8"/>
    <w:rsid w:val="00FF3080"/>
    <w:rsid w:val="00FF3B5E"/>
    <w:rsid w:val="00FF5CDF"/>
    <w:rsid w:val="00FF6072"/>
    <w:rsid w:val="00FF627B"/>
    <w:rsid w:val="00FF6F24"/>
    <w:rsid w:val="00FF7663"/>
    <w:rsid w:val="00FF7DE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970"/>
    <w:pPr>
      <w:ind w:left="720"/>
      <w:contextualSpacing/>
    </w:pPr>
  </w:style>
  <w:style w:type="table" w:styleId="a4">
    <w:name w:val="Table Grid"/>
    <w:basedOn w:val="a1"/>
    <w:uiPriority w:val="59"/>
    <w:rsid w:val="00A34F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A0B4F-B296-4D95-B91C-976CCF9E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3409</Words>
  <Characters>19433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dc:creator>
  <cp:lastModifiedBy>Eka</cp:lastModifiedBy>
  <cp:revision>4</cp:revision>
  <dcterms:created xsi:type="dcterms:W3CDTF">2014-04-10T19:02:00Z</dcterms:created>
  <dcterms:modified xsi:type="dcterms:W3CDTF">2014-04-17T19:05:00Z</dcterms:modified>
</cp:coreProperties>
</file>